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D371FD">
        <w:rPr>
          <w:rFonts w:cs="Arial"/>
          <w:szCs w:val="22"/>
        </w:rPr>
        <w:t>2</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B0034C">
        <w:t>R4-</w:t>
      </w:r>
      <w:r w:rsidR="00E93D47" w:rsidRPr="00B0034C">
        <w:t>2</w:t>
      </w:r>
      <w:r w:rsidR="00D371FD" w:rsidRPr="00B0034C">
        <w:t>2</w:t>
      </w:r>
      <w:r w:rsidR="00B0034C" w:rsidRPr="00B0034C">
        <w:t>0</w:t>
      </w:r>
      <w:bookmarkStart w:id="2" w:name="_GoBack"/>
      <w:r w:rsidR="00B0034C" w:rsidRPr="00B0034C">
        <w:t>4823</w:t>
      </w:r>
      <w:bookmarkEnd w:id="2"/>
    </w:p>
    <w:p w:rsidR="00675C27" w:rsidRPr="00444A16" w:rsidRDefault="006F42B2" w:rsidP="00F71A33">
      <w:pPr>
        <w:pStyle w:val="afb"/>
        <w:rPr>
          <w:rFonts w:eastAsia="宋体"/>
          <w:lang w:eastAsia="zh-CN"/>
        </w:rPr>
      </w:pPr>
      <w:r>
        <w:rPr>
          <w:rFonts w:eastAsia="宋体"/>
          <w:lang w:eastAsia="zh-CN"/>
        </w:rPr>
        <w:t>e-</w:t>
      </w:r>
      <w:r w:rsidR="009D7747">
        <w:rPr>
          <w:rFonts w:eastAsia="宋体"/>
          <w:lang w:eastAsia="zh-CN"/>
        </w:rPr>
        <w:t xml:space="preserve">Meeting, </w:t>
      </w:r>
      <w:r w:rsidR="00D371FD">
        <w:rPr>
          <w:rFonts w:eastAsia="宋体"/>
          <w:lang w:eastAsia="zh-CN"/>
        </w:rPr>
        <w:t>Feburary</w:t>
      </w:r>
      <w:r w:rsidR="009A01DD">
        <w:rPr>
          <w:rFonts w:eastAsia="宋体"/>
          <w:lang w:eastAsia="zh-CN"/>
        </w:rPr>
        <w:t xml:space="preserve"> </w:t>
      </w:r>
      <w:r w:rsidR="00D371FD">
        <w:rPr>
          <w:rFonts w:eastAsia="宋体"/>
          <w:lang w:eastAsia="zh-CN"/>
        </w:rPr>
        <w:t>21 – March 3</w:t>
      </w:r>
      <w:r w:rsidR="0042456A">
        <w:rPr>
          <w:rFonts w:eastAsia="宋体"/>
          <w:lang w:eastAsia="zh-CN"/>
        </w:rPr>
        <w:t>, 2022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629D" w:rsidRPr="00B9629D">
        <w:rPr>
          <w:rFonts w:ascii="Arial" w:hAnsi="Arial" w:cs="Arial"/>
          <w:sz w:val="22"/>
        </w:rPr>
        <w:t xml:space="preserve">On </w:t>
      </w:r>
      <w:r w:rsidR="00D57AAB" w:rsidRPr="00D57AAB">
        <w:rPr>
          <w:rFonts w:ascii="Arial" w:hAnsi="Arial" w:cs="Arial"/>
          <w:sz w:val="22"/>
        </w:rPr>
        <w:t>transient period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D7759">
        <w:rPr>
          <w:rFonts w:ascii="Arial" w:hAnsi="Arial" w:cs="Arial"/>
          <w:sz w:val="22"/>
        </w:rPr>
        <w:t>5.1.5.2.1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AB1467" w:rsidRDefault="009279BA" w:rsidP="00AB1467">
      <w:pPr>
        <w:jc w:val="both"/>
      </w:pPr>
      <w:r>
        <w:t xml:space="preserve">Transient period capability is a topic with long discussion history. With the noted WF from last meeting [1], divergence still exists on </w:t>
      </w:r>
      <w:r w:rsidR="00EB501D">
        <w:t xml:space="preserve">the </w:t>
      </w:r>
      <w:r w:rsidR="00713646">
        <w:t>exclusion</w:t>
      </w:r>
      <w:r w:rsidR="00EB501D">
        <w:t xml:space="preserve"> window</w:t>
      </w:r>
      <w:r w:rsidR="00713646">
        <w:t xml:space="preserve"> </w:t>
      </w:r>
      <w:r w:rsidR="00EB501D">
        <w:t xml:space="preserve">location </w:t>
      </w:r>
      <w:r w:rsidR="00713646">
        <w:t xml:space="preserve">for the shorter </w:t>
      </w:r>
      <w:proofErr w:type="spellStart"/>
      <w:r w:rsidR="00713646">
        <w:t>Tp</w:t>
      </w:r>
      <w:proofErr w:type="spellEnd"/>
      <w:r w:rsidR="00713646">
        <w:t xml:space="preserve"> test</w:t>
      </w:r>
      <w:r>
        <w:t xml:space="preserve">, i.e. the value of </w:t>
      </w:r>
      <w:proofErr w:type="spellStart"/>
      <w:r w:rsidR="00713646">
        <w:t>t</w:t>
      </w:r>
      <w:r>
        <w:t>pstart</w:t>
      </w:r>
      <w:proofErr w:type="spellEnd"/>
      <w:r>
        <w:t xml:space="preserve"> in TS 38.101-1. In this contribution, we will provide fur</w:t>
      </w:r>
      <w:r w:rsidR="00EB501D">
        <w:t>ther analysis on this issue.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C949E8" w:rsidTr="00455C50">
        <w:tc>
          <w:tcPr>
            <w:tcW w:w="9857" w:type="dxa"/>
            <w:shd w:val="clear" w:color="auto" w:fill="auto"/>
          </w:tcPr>
          <w:p w:rsidR="00A33CEA" w:rsidRPr="00A33CEA" w:rsidRDefault="00A33CEA" w:rsidP="00A33CEA">
            <w:pPr>
              <w:overflowPunct/>
              <w:autoSpaceDE/>
              <w:autoSpaceDN/>
              <w:adjustRightInd/>
              <w:jc w:val="both"/>
              <w:textAlignment w:val="auto"/>
              <w:rPr>
                <w:rFonts w:ascii="Arial" w:hAnsi="Arial" w:cs="Arial"/>
                <w:sz w:val="36"/>
                <w:szCs w:val="36"/>
                <w:lang w:val="en-US" w:eastAsia="ja-JP"/>
              </w:rPr>
            </w:pPr>
            <w:r w:rsidRPr="00A33CEA">
              <w:rPr>
                <w:rFonts w:ascii="Arial" w:hAnsi="Arial" w:cs="Arial"/>
                <w:sz w:val="36"/>
                <w:szCs w:val="36"/>
                <w:lang w:val="en-US" w:eastAsia="ja-JP"/>
              </w:rPr>
              <w:t>Way Forward</w:t>
            </w:r>
          </w:p>
          <w:p w:rsidR="00A33CEA" w:rsidRDefault="00A33CEA" w:rsidP="00A33CEA">
            <w:pPr>
              <w:numPr>
                <w:ilvl w:val="0"/>
                <w:numId w:val="42"/>
              </w:numPr>
              <w:overflowPunct/>
              <w:autoSpaceDE/>
              <w:autoSpaceDN/>
              <w:adjustRightInd/>
              <w:jc w:val="both"/>
              <w:textAlignment w:val="auto"/>
              <w:rPr>
                <w:lang w:val="en-US" w:eastAsia="ja-JP"/>
              </w:rPr>
            </w:pPr>
            <w:r>
              <w:rPr>
                <w:lang w:val="en-US" w:eastAsia="ja-JP"/>
              </w:rPr>
              <w:t xml:space="preserve">Modify </w:t>
            </w:r>
            <w:proofErr w:type="spellStart"/>
            <w:r>
              <w:rPr>
                <w:lang w:val="en-US" w:eastAsia="ja-JP"/>
              </w:rPr>
              <w:t>tpstart</w:t>
            </w:r>
            <w:proofErr w:type="spellEnd"/>
            <w:r>
              <w:rPr>
                <w:lang w:val="en-US" w:eastAsia="ja-JP"/>
              </w:rPr>
              <w:t xml:space="preserve">=[-0.6] for 2us capability (to be verified with both 15kHz and 30kHz SCS) and </w:t>
            </w:r>
            <w:proofErr w:type="spellStart"/>
            <w:r w:rsidRPr="00053575">
              <w:rPr>
                <w:lang w:val="en-US" w:eastAsia="ja-JP"/>
              </w:rPr>
              <w:t>tpstart</w:t>
            </w:r>
            <w:proofErr w:type="spellEnd"/>
            <w:r w:rsidRPr="00053575">
              <w:rPr>
                <w:lang w:val="en-US" w:eastAsia="ja-JP"/>
              </w:rPr>
              <w:t xml:space="preserve"> = [-2.7]</w:t>
            </w:r>
            <w:r>
              <w:rPr>
                <w:lang w:val="en-US" w:eastAsia="ja-JP"/>
              </w:rPr>
              <w:t>us for 7us capability (to be verified with 15kHz SCS)</w:t>
            </w:r>
          </w:p>
          <w:p w:rsidR="00A33CEA" w:rsidRDefault="00A33CEA" w:rsidP="00A33CEA">
            <w:pPr>
              <w:numPr>
                <w:ilvl w:val="1"/>
                <w:numId w:val="42"/>
              </w:numPr>
              <w:overflowPunct/>
              <w:autoSpaceDE/>
              <w:autoSpaceDN/>
              <w:adjustRightInd/>
              <w:jc w:val="both"/>
              <w:textAlignment w:val="auto"/>
              <w:rPr>
                <w:lang w:val="en-US" w:eastAsia="ja-JP"/>
              </w:rPr>
            </w:pPr>
            <w:r w:rsidRPr="007B57BB">
              <w:rPr>
                <w:rFonts w:hint="eastAsia"/>
                <w:lang w:val="en-US" w:eastAsia="ja-JP"/>
              </w:rPr>
              <w:t>k</w:t>
            </w:r>
            <w:r w:rsidRPr="007B57BB">
              <w:rPr>
                <w:lang w:val="en-US" w:eastAsia="ja-JP"/>
              </w:rPr>
              <w:t xml:space="preserve">eep current </w:t>
            </w:r>
            <w:proofErr w:type="spellStart"/>
            <w:r w:rsidRPr="007B57BB">
              <w:rPr>
                <w:lang w:val="en-US" w:eastAsia="ja-JP"/>
              </w:rPr>
              <w:t>tpstart</w:t>
            </w:r>
            <w:proofErr w:type="spellEnd"/>
            <w:r w:rsidRPr="007B57BB">
              <w:rPr>
                <w:lang w:val="en-US" w:eastAsia="ja-JP"/>
              </w:rPr>
              <w:t xml:space="preserve"> for 4us</w:t>
            </w:r>
          </w:p>
          <w:p w:rsidR="00A33CEA" w:rsidRDefault="00A33CEA" w:rsidP="00A33CEA">
            <w:pPr>
              <w:numPr>
                <w:ilvl w:val="1"/>
                <w:numId w:val="42"/>
              </w:numPr>
              <w:overflowPunct/>
              <w:autoSpaceDE/>
              <w:autoSpaceDN/>
              <w:adjustRightInd/>
              <w:jc w:val="both"/>
              <w:textAlignment w:val="auto"/>
              <w:rPr>
                <w:lang w:val="en-US" w:eastAsia="ja-JP"/>
              </w:rPr>
            </w:pPr>
            <w:r>
              <w:rPr>
                <w:rFonts w:hint="eastAsia"/>
                <w:lang w:val="en-US" w:eastAsia="ja-JP"/>
              </w:rPr>
              <w:t>U</w:t>
            </w:r>
            <w:r>
              <w:rPr>
                <w:lang w:val="en-US" w:eastAsia="ja-JP"/>
              </w:rPr>
              <w:t>Es can set their internal transient window anywhere relative to the symbol boundary as long as they meet the EVM requirement</w:t>
            </w:r>
          </w:p>
          <w:p w:rsidR="00AB1467" w:rsidRPr="00A33CEA" w:rsidRDefault="00A33CEA" w:rsidP="00A33CEA">
            <w:pPr>
              <w:numPr>
                <w:ilvl w:val="0"/>
                <w:numId w:val="42"/>
              </w:numPr>
              <w:overflowPunct/>
              <w:autoSpaceDE/>
              <w:autoSpaceDN/>
              <w:adjustRightInd/>
              <w:jc w:val="both"/>
              <w:textAlignment w:val="auto"/>
              <w:rPr>
                <w:lang w:val="en-US" w:eastAsia="ja-JP"/>
              </w:rPr>
            </w:pPr>
            <w:r w:rsidRPr="007B57BB">
              <w:rPr>
                <w:lang w:val="en-US" w:eastAsia="ja-JP"/>
              </w:rPr>
              <w:t>Remove []</w:t>
            </w:r>
            <w:r>
              <w:rPr>
                <w:lang w:val="en-US" w:eastAsia="ja-JP"/>
              </w:rPr>
              <w:t xml:space="preserve"> for EVM requirements without any other change</w:t>
            </w:r>
          </w:p>
        </w:tc>
      </w:tr>
    </w:tbl>
    <w:p w:rsidR="00062E8E" w:rsidRDefault="00062E8E" w:rsidP="00F23E96">
      <w:pPr>
        <w:pStyle w:val="1"/>
        <w:spacing w:after="240"/>
        <w:rPr>
          <w:rFonts w:eastAsia="宋体"/>
          <w:lang w:eastAsia="zh-CN"/>
        </w:rPr>
      </w:pPr>
      <w:r>
        <w:rPr>
          <w:rFonts w:eastAsia="宋体" w:hint="eastAsia"/>
          <w:lang w:eastAsia="zh-CN"/>
        </w:rPr>
        <w:t>Discussion</w:t>
      </w:r>
    </w:p>
    <w:p w:rsidR="007C5A0D" w:rsidRPr="00F717C6" w:rsidRDefault="007C5A0D" w:rsidP="007C5A0D">
      <w:pPr>
        <w:jc w:val="both"/>
        <w:rPr>
          <w:b/>
          <w:sz w:val="24"/>
          <w:u w:val="single"/>
        </w:rPr>
      </w:pPr>
      <w:r>
        <w:rPr>
          <w:b/>
          <w:sz w:val="24"/>
          <w:u w:val="single"/>
        </w:rPr>
        <w:t>The measurements in R4-2111530</w:t>
      </w:r>
    </w:p>
    <w:p w:rsidR="007C5A0D" w:rsidRDefault="00983129" w:rsidP="00430A08">
      <w:pPr>
        <w:jc w:val="both"/>
      </w:pPr>
      <w:r>
        <w:t>During past few meetings</w:t>
      </w:r>
      <w:r w:rsidR="007C5A0D">
        <w:t xml:space="preserve">, component </w:t>
      </w:r>
      <w:r>
        <w:t>has</w:t>
      </w:r>
      <w:r w:rsidR="007C5A0D">
        <w:t xml:space="preserve"> concern on the current position of the asymmetric window, since the measurements in [2] show that “aggressive </w:t>
      </w:r>
      <w:proofErr w:type="spellStart"/>
      <w:r w:rsidR="007C5A0D">
        <w:t>tpstart</w:t>
      </w:r>
      <w:proofErr w:type="spellEnd"/>
      <w:r w:rsidR="007C5A0D">
        <w:t>” will impact the test performance due to WOLA</w:t>
      </w:r>
      <w:r>
        <w:t xml:space="preserve"> effect</w:t>
      </w:r>
      <w:r w:rsidR="007C5A0D">
        <w:t>.</w:t>
      </w:r>
    </w:p>
    <w:p w:rsidR="00FA7A16" w:rsidRPr="00FA7A16" w:rsidRDefault="007C5A0D" w:rsidP="00430A08">
      <w:pPr>
        <w:jc w:val="both"/>
      </w:pPr>
      <w:r>
        <w:t xml:space="preserve">From our understanding, WOLA </w:t>
      </w:r>
      <w:r w:rsidR="00980E59">
        <w:t>was in</w:t>
      </w:r>
      <w:r w:rsidR="008D2E57">
        <w:t>troduced for the alleviation of</w:t>
      </w:r>
      <w:r w:rsidR="00980E59">
        <w:t xml:space="preserve"> </w:t>
      </w:r>
      <w:r w:rsidR="006F42B2">
        <w:t xml:space="preserve">out of band emission. A certain length WOLA window could achieve good suppression at the cost of overhead. </w:t>
      </w:r>
      <w:r w:rsidR="00FA7A16">
        <w:t xml:space="preserve">Theoretically, the WOLA window should not exceed 25% CP at each side of the CP-OFDM symbol </w:t>
      </w:r>
      <w:r w:rsidR="008D2E57">
        <w:t>to adapt</w:t>
      </w:r>
      <w:r w:rsidR="00FA7A16">
        <w:t xml:space="preserve"> the position of </w:t>
      </w:r>
      <m:oMath>
        <m:sSub>
          <m:sSubPr>
            <m:ctrlPr>
              <w:rPr>
                <w:rFonts w:ascii="Cambria Math" w:hAnsi="Cambria Math"/>
              </w:rPr>
            </m:ctrlPr>
          </m:sSubPr>
          <m:e>
            <m:r>
              <w:rPr>
                <w:rFonts w:ascii="Cambria Math" w:hAnsi="Cambria Math"/>
              </w:rPr>
              <m:t>EVM</m:t>
            </m:r>
          </m:e>
          <m:sub>
            <m:r>
              <w:rPr>
                <w:rFonts w:ascii="Cambria Math" w:hAnsi="Cambria Math"/>
              </w:rPr>
              <m:t>h</m:t>
            </m:r>
          </m:sub>
        </m:sSub>
      </m:oMath>
      <w:r w:rsidR="00FA7A16">
        <w:t xml:space="preserve"> </w:t>
      </w:r>
      <w:proofErr w:type="gramStart"/>
      <w:r w:rsidR="00FA7A16">
        <w:t xml:space="preserve">and </w:t>
      </w:r>
      <w:proofErr w:type="gramEnd"/>
      <m:oMath>
        <m:sSub>
          <m:sSubPr>
            <m:ctrlPr>
              <w:rPr>
                <w:rFonts w:ascii="Cambria Math" w:hAnsi="Cambria Math"/>
              </w:rPr>
            </m:ctrlPr>
          </m:sSubPr>
          <m:e>
            <m:r>
              <w:rPr>
                <w:rFonts w:ascii="Cambria Math" w:hAnsi="Cambria Math"/>
              </w:rPr>
              <m:t>EVM</m:t>
            </m:r>
          </m:e>
          <m:sub>
            <m:r>
              <w:rPr>
                <w:rFonts w:ascii="Cambria Math" w:hAnsi="Cambria Math"/>
              </w:rPr>
              <m:t>l</m:t>
            </m:r>
          </m:sub>
        </m:sSub>
      </m:oMath>
      <w:r w:rsidR="00FA7A16">
        <w:t>. But we think serious emission is more likely to happen for the small RB allocation rather than full allocation. In real implementation UE could</w:t>
      </w:r>
      <w:r w:rsidR="005C5B0B">
        <w:t xml:space="preserve"> be</w:t>
      </w:r>
      <w:r w:rsidR="00FA7A16">
        <w:t xml:space="preserve"> </w:t>
      </w:r>
      <w:r w:rsidR="005C5B0B">
        <w:t>optimised for</w:t>
      </w:r>
      <w:r w:rsidR="00FA7A16">
        <w:t xml:space="preserve"> shorter WOLA window for different scenario and leave more margin in CP for </w:t>
      </w:r>
      <w:proofErr w:type="spellStart"/>
      <w:r w:rsidR="00FA7A16">
        <w:t>gNB</w:t>
      </w:r>
      <w:proofErr w:type="spellEnd"/>
      <w:r w:rsidR="00FA7A16">
        <w:t xml:space="preserve"> demodulation design. </w:t>
      </w:r>
    </w:p>
    <w:p w:rsidR="009256C5" w:rsidRDefault="009256C5" w:rsidP="00430A08">
      <w:pPr>
        <w:jc w:val="both"/>
      </w:pPr>
      <w:r>
        <w:rPr>
          <w:b/>
          <w:i/>
        </w:rPr>
        <w:t>Observation</w:t>
      </w:r>
      <w:r w:rsidRPr="006606FC">
        <w:rPr>
          <w:b/>
          <w:i/>
        </w:rPr>
        <w:t xml:space="preserve"> </w:t>
      </w:r>
      <w:r w:rsidR="00FA7A16">
        <w:rPr>
          <w:b/>
          <w:i/>
        </w:rPr>
        <w:t>1</w:t>
      </w:r>
      <w:r w:rsidRPr="006606FC">
        <w:rPr>
          <w:b/>
          <w:i/>
        </w:rPr>
        <w:t>:</w:t>
      </w:r>
      <w:r w:rsidR="00FA7A16">
        <w:rPr>
          <w:b/>
          <w:i/>
        </w:rPr>
        <w:t xml:space="preserve"> 25% CP is only the t</w:t>
      </w:r>
      <w:r w:rsidR="00FA7A16" w:rsidRPr="00FA7A16">
        <w:rPr>
          <w:b/>
          <w:i/>
        </w:rPr>
        <w:t>heoretical</w:t>
      </w:r>
      <w:r w:rsidR="00FA7A16">
        <w:rPr>
          <w:b/>
          <w:i/>
        </w:rPr>
        <w:t xml:space="preserve"> </w:t>
      </w:r>
      <w:r w:rsidR="00F904BE">
        <w:rPr>
          <w:b/>
          <w:i/>
        </w:rPr>
        <w:t>WOLA window length.</w:t>
      </w:r>
      <w:r w:rsidR="005C5B0B">
        <w:rPr>
          <w:b/>
          <w:i/>
        </w:rPr>
        <w:t xml:space="preserve"> </w:t>
      </w:r>
      <w:r w:rsidR="00F904BE">
        <w:rPr>
          <w:b/>
          <w:i/>
        </w:rPr>
        <w:t>S</w:t>
      </w:r>
      <w:r w:rsidR="005C5B0B">
        <w:rPr>
          <w:b/>
          <w:i/>
        </w:rPr>
        <w:t xml:space="preserve">horter WOLA window can be applied to alleviate the </w:t>
      </w:r>
      <w:r w:rsidR="00F904BE">
        <w:rPr>
          <w:b/>
          <w:i/>
        </w:rPr>
        <w:t xml:space="preserve">spectrum </w:t>
      </w:r>
      <w:r w:rsidR="005C5B0B">
        <w:rPr>
          <w:b/>
          <w:i/>
        </w:rPr>
        <w:t>emission in the real implementation</w:t>
      </w:r>
      <w:r w:rsidR="00FA7A16">
        <w:rPr>
          <w:b/>
          <w:i/>
        </w:rPr>
        <w:t xml:space="preserve"> </w:t>
      </w:r>
      <w:r w:rsidR="005C5B0B">
        <w:rPr>
          <w:b/>
          <w:i/>
        </w:rPr>
        <w:t>especially when the issue is less serious for large RB allocation</w:t>
      </w:r>
      <w:r>
        <w:t>.</w:t>
      </w:r>
    </w:p>
    <w:p w:rsidR="009256C5" w:rsidRDefault="009256C5" w:rsidP="00430A08">
      <w:pPr>
        <w:jc w:val="both"/>
      </w:pPr>
      <w:r>
        <w:t>Accordingly, w</w:t>
      </w:r>
      <w:r w:rsidR="002B63D1">
        <w:t xml:space="preserve">e </w:t>
      </w:r>
      <w:r w:rsidR="00ED4F8C">
        <w:t>would like to ask that under what WOLA window length</w:t>
      </w:r>
      <w:r w:rsidR="007B7ADB">
        <w:t xml:space="preserve"> assumption</w:t>
      </w:r>
      <w:r w:rsidR="00ED4F8C">
        <w:t>,</w:t>
      </w:r>
      <w:r w:rsidR="002B63D1">
        <w:t xml:space="preserve"> </w:t>
      </w:r>
      <w:r w:rsidR="00ED4F8C">
        <w:t>the EVM degradation in [2] becomes an issue</w:t>
      </w:r>
      <w:r w:rsidR="007B7ADB">
        <w:t xml:space="preserve"> </w:t>
      </w:r>
      <w:r w:rsidR="002E6C5B">
        <w:t>as</w:t>
      </w:r>
      <w:r>
        <w:t xml:space="preserve"> it has following statement:</w:t>
      </w:r>
    </w:p>
    <w:tbl>
      <w:tblPr>
        <w:tblStyle w:val="af8"/>
        <w:tblW w:w="0" w:type="auto"/>
        <w:tblLook w:val="04A0" w:firstRow="1" w:lastRow="0" w:firstColumn="1" w:lastColumn="0" w:noHBand="0" w:noVBand="1"/>
      </w:tblPr>
      <w:tblGrid>
        <w:gridCol w:w="9631"/>
      </w:tblGrid>
      <w:tr w:rsidR="009256C5" w:rsidTr="009256C5">
        <w:tc>
          <w:tcPr>
            <w:tcW w:w="9631" w:type="dxa"/>
          </w:tcPr>
          <w:p w:rsidR="009256C5" w:rsidRDefault="009256C5" w:rsidP="009256C5">
            <w:pPr>
              <w:jc w:val="both"/>
            </w:pPr>
            <w:r>
              <w:t>Tested waveforms:</w:t>
            </w:r>
          </w:p>
          <w:p w:rsidR="009256C5" w:rsidRDefault="009256C5" w:rsidP="009256C5">
            <w:pPr>
              <w:jc w:val="both"/>
            </w:pPr>
            <w:r>
              <w:t>-</w:t>
            </w:r>
            <w:r>
              <w:tab/>
              <w:t>20MHz CP-OFDM, SCS 15kHz and SCS 30kHz.</w:t>
            </w:r>
          </w:p>
          <w:p w:rsidR="009256C5" w:rsidRDefault="009256C5" w:rsidP="009256C5">
            <w:pPr>
              <w:jc w:val="both"/>
            </w:pPr>
            <w:r>
              <w:t>-</w:t>
            </w:r>
            <w:r>
              <w:tab/>
              <w:t xml:space="preserve">Uplink RB configurations: </w:t>
            </w:r>
            <w:r w:rsidRPr="009256C5">
              <w:rPr>
                <w:highlight w:val="yellow"/>
              </w:rPr>
              <w:t>Fully allocated waveforms</w:t>
            </w:r>
            <w:r>
              <w:t>, i.e. 106RB0 at SCS1 5kHz and 51RB0at SCS 30kHz</w:t>
            </w:r>
          </w:p>
        </w:tc>
      </w:tr>
    </w:tbl>
    <w:p w:rsidR="007B7ADB" w:rsidRDefault="00C70F42" w:rsidP="00430A08">
      <w:pPr>
        <w:jc w:val="both"/>
      </w:pPr>
      <w:r>
        <w:rPr>
          <w:b/>
          <w:i/>
        </w:rPr>
        <w:t>Proposal</w:t>
      </w:r>
      <w:r w:rsidR="007B7ADB">
        <w:rPr>
          <w:b/>
          <w:i/>
        </w:rPr>
        <w:t xml:space="preserve"> </w:t>
      </w:r>
      <w:r>
        <w:rPr>
          <w:b/>
          <w:i/>
        </w:rPr>
        <w:t>1</w:t>
      </w:r>
      <w:r w:rsidR="007B7ADB" w:rsidRPr="006606FC">
        <w:rPr>
          <w:b/>
          <w:i/>
        </w:rPr>
        <w:t>:</w:t>
      </w:r>
      <w:r w:rsidR="007B7ADB">
        <w:rPr>
          <w:b/>
          <w:i/>
        </w:rPr>
        <w:t xml:space="preserve"> WOLA window length assumption needs to be clarified for the measurements in R4-</w:t>
      </w:r>
      <w:r w:rsidR="007B7ADB" w:rsidRPr="007B7ADB">
        <w:rPr>
          <w:b/>
          <w:i/>
        </w:rPr>
        <w:t>2111539</w:t>
      </w:r>
      <w:r w:rsidR="007B7ADB">
        <w:t>.</w:t>
      </w:r>
    </w:p>
    <w:p w:rsidR="007B7ADB" w:rsidRPr="007B7ADB" w:rsidRDefault="00917376" w:rsidP="00430A08">
      <w:pPr>
        <w:jc w:val="both"/>
        <w:rPr>
          <w:b/>
          <w:sz w:val="24"/>
          <w:u w:val="single"/>
        </w:rPr>
      </w:pPr>
      <w:r>
        <w:rPr>
          <w:b/>
          <w:sz w:val="24"/>
          <w:u w:val="single"/>
        </w:rPr>
        <w:t>The purpose of introducing</w:t>
      </w:r>
      <w:r w:rsidR="007B7ADB">
        <w:rPr>
          <w:b/>
          <w:sz w:val="24"/>
          <w:u w:val="single"/>
        </w:rPr>
        <w:t xml:space="preserve"> shorter transient period</w:t>
      </w:r>
    </w:p>
    <w:p w:rsidR="00917376" w:rsidRDefault="007D56C6" w:rsidP="00430A08">
      <w:pPr>
        <w:jc w:val="both"/>
      </w:pPr>
      <w:r>
        <w:lastRenderedPageBreak/>
        <w:t xml:space="preserve">In our understanding, the </w:t>
      </w:r>
      <w:r w:rsidR="00C55403">
        <w:t>reason</w:t>
      </w:r>
      <w:r>
        <w:t xml:space="preserve"> </w:t>
      </w:r>
      <w:r w:rsidR="00C55403">
        <w:t>for</w:t>
      </w:r>
      <w:r>
        <w:t xml:space="preserve"> introducing different UE capabilities on transient period is that NR supports shorter CP than LTE </w:t>
      </w:r>
      <w:r w:rsidR="0061364B">
        <w:t>by</w:t>
      </w:r>
      <w:r w:rsidR="002907F6">
        <w:t xml:space="preserve"> </w:t>
      </w:r>
      <w:r w:rsidR="008D2E57">
        <w:t>multiple</w:t>
      </w:r>
      <w:r w:rsidR="002907F6">
        <w:t xml:space="preserve"> higher SCSs</w:t>
      </w:r>
      <w:r w:rsidR="00321CD0">
        <w:t xml:space="preserve">. </w:t>
      </w:r>
      <w:r w:rsidR="00C55403">
        <w:t>T</w:t>
      </w:r>
      <w:r w:rsidR="00321CD0">
        <w:t xml:space="preserve">he goal of this feature is </w:t>
      </w:r>
      <w:r w:rsidR="00524720">
        <w:t xml:space="preserve">for better alignment between </w:t>
      </w:r>
      <w:proofErr w:type="spellStart"/>
      <w:r w:rsidR="00524720">
        <w:t>gNB</w:t>
      </w:r>
      <w:proofErr w:type="spellEnd"/>
      <w:r w:rsidR="00524720">
        <w:t xml:space="preserve"> and UE</w:t>
      </w:r>
      <w:r w:rsidR="00321CD0">
        <w:t xml:space="preserve"> and </w:t>
      </w:r>
      <w:r w:rsidR="00C55403">
        <w:t>boost</w:t>
      </w:r>
      <w:r w:rsidR="0061364B">
        <w:t xml:space="preserve"> o</w:t>
      </w:r>
      <w:r w:rsidR="00321CD0">
        <w:t>verall UL performance.</w:t>
      </w:r>
      <w:r w:rsidR="00825CF6">
        <w:t xml:space="preserve"> </w:t>
      </w:r>
      <w:r w:rsidR="00917376">
        <w:t xml:space="preserve">Bearing this in mind, it is necessary to </w:t>
      </w:r>
      <w:r w:rsidR="00740DCC">
        <w:t xml:space="preserve">know about </w:t>
      </w:r>
      <w:proofErr w:type="spellStart"/>
      <w:r w:rsidR="00740DCC">
        <w:t>gNB</w:t>
      </w:r>
      <w:proofErr w:type="spellEnd"/>
      <w:r w:rsidR="00740DCC">
        <w:t xml:space="preserve"> implementation first.</w:t>
      </w:r>
    </w:p>
    <w:p w:rsidR="00F717C6" w:rsidRPr="00F717C6" w:rsidRDefault="00F717C6" w:rsidP="008A00C1">
      <w:pPr>
        <w:jc w:val="both"/>
        <w:rPr>
          <w:b/>
          <w:sz w:val="24"/>
          <w:u w:val="single"/>
        </w:rPr>
      </w:pPr>
      <w:r>
        <w:rPr>
          <w:b/>
          <w:sz w:val="24"/>
          <w:u w:val="single"/>
        </w:rPr>
        <w:t>I</w:t>
      </w:r>
      <w:r w:rsidRPr="00F717C6">
        <w:rPr>
          <w:b/>
          <w:sz w:val="24"/>
          <w:u w:val="single"/>
        </w:rPr>
        <w:t>mplementation</w:t>
      </w:r>
      <w:r>
        <w:rPr>
          <w:b/>
          <w:sz w:val="24"/>
          <w:u w:val="single"/>
        </w:rPr>
        <w:t xml:space="preserve"> at </w:t>
      </w:r>
      <w:proofErr w:type="spellStart"/>
      <w:r>
        <w:rPr>
          <w:b/>
          <w:sz w:val="24"/>
          <w:u w:val="single"/>
        </w:rPr>
        <w:t>gNB</w:t>
      </w:r>
      <w:proofErr w:type="spellEnd"/>
      <w:r w:rsidRPr="00F717C6">
        <w:rPr>
          <w:b/>
          <w:sz w:val="24"/>
          <w:u w:val="single"/>
        </w:rPr>
        <w:t xml:space="preserve">: </w:t>
      </w:r>
      <w:r w:rsidR="00E72575">
        <w:rPr>
          <w:b/>
          <w:sz w:val="24"/>
          <w:u w:val="single"/>
        </w:rPr>
        <w:t xml:space="preserve">Two major factors for the </w:t>
      </w:r>
      <w:r w:rsidRPr="00F717C6">
        <w:rPr>
          <w:b/>
          <w:sz w:val="24"/>
          <w:u w:val="single"/>
        </w:rPr>
        <w:t>FFT window</w:t>
      </w:r>
      <w:r w:rsidR="00E72575">
        <w:rPr>
          <w:b/>
          <w:sz w:val="24"/>
          <w:u w:val="single"/>
        </w:rPr>
        <w:t xml:space="preserve"> placement</w:t>
      </w:r>
    </w:p>
    <w:p w:rsidR="00315F02" w:rsidRDefault="009F040D" w:rsidP="008A00C1">
      <w:pPr>
        <w:jc w:val="both"/>
      </w:pPr>
      <w:r>
        <w:t xml:space="preserve">As in our early </w:t>
      </w:r>
      <w:r w:rsidR="00C55403">
        <w:t>paper</w:t>
      </w:r>
      <w:r>
        <w:t xml:space="preserve"> [</w:t>
      </w:r>
      <w:r w:rsidR="007B7ADB">
        <w:t>3</w:t>
      </w:r>
      <w:r>
        <w:t xml:space="preserve">], we have </w:t>
      </w:r>
      <w:r w:rsidR="00F717C6">
        <w:t xml:space="preserve">analysed how </w:t>
      </w:r>
      <w:proofErr w:type="spellStart"/>
      <w:r w:rsidR="00F717C6">
        <w:t>gNB</w:t>
      </w:r>
      <w:proofErr w:type="spellEnd"/>
      <w:r w:rsidR="00F717C6">
        <w:t xml:space="preserve"> will set the FFT window for demodulation. One major </w:t>
      </w:r>
      <w:r w:rsidR="00292089">
        <w:t>factor</w:t>
      </w:r>
      <w:r w:rsidR="00F717C6">
        <w:t xml:space="preserve"> that should be considered by </w:t>
      </w:r>
      <w:proofErr w:type="spellStart"/>
      <w:r w:rsidR="00F717C6">
        <w:t>gNB</w:t>
      </w:r>
      <w:proofErr w:type="spellEnd"/>
      <w:r w:rsidR="00F717C6">
        <w:t xml:space="preserve"> is </w:t>
      </w:r>
      <w:r w:rsidR="00C55403">
        <w:t xml:space="preserve">the </w:t>
      </w:r>
      <w:r w:rsidR="00F717C6">
        <w:t xml:space="preserve">multipath delay spread, since it </w:t>
      </w:r>
      <w:r w:rsidR="00C55403">
        <w:t>is always</w:t>
      </w:r>
      <w:r w:rsidR="00F717C6">
        <w:t xml:space="preserve"> a serious </w:t>
      </w:r>
      <w:r w:rsidR="00C55403">
        <w:t>problem</w:t>
      </w:r>
      <w:r w:rsidR="00F717C6">
        <w:t xml:space="preserve"> with different </w:t>
      </w:r>
      <w:r w:rsidR="00C55403">
        <w:t>deployment</w:t>
      </w:r>
      <w:r w:rsidR="00F717C6">
        <w:t xml:space="preserve"> scenario and coverage range. </w:t>
      </w:r>
    </w:p>
    <w:p w:rsidR="00292089" w:rsidRDefault="00292089" w:rsidP="008A00C1">
      <w:pPr>
        <w:jc w:val="both"/>
      </w:pPr>
      <w:r>
        <w:rPr>
          <w:b/>
          <w:i/>
        </w:rPr>
        <w:t>Observation</w:t>
      </w:r>
      <w:r w:rsidRPr="006606FC">
        <w:rPr>
          <w:b/>
          <w:i/>
        </w:rPr>
        <w:t xml:space="preserve"> </w:t>
      </w:r>
      <w:r w:rsidR="009D5BCF">
        <w:rPr>
          <w:b/>
          <w:i/>
        </w:rPr>
        <w:t>2</w:t>
      </w:r>
      <w:r w:rsidRPr="006606FC">
        <w:rPr>
          <w:b/>
          <w:i/>
        </w:rPr>
        <w:t>:</w:t>
      </w:r>
      <w:r>
        <w:rPr>
          <w:b/>
          <w:i/>
        </w:rPr>
        <w:t xml:space="preserve"> Anti-multipath is </w:t>
      </w:r>
      <w:r w:rsidR="009D5BCF">
        <w:rPr>
          <w:b/>
          <w:i/>
        </w:rPr>
        <w:t>a major factor</w:t>
      </w:r>
      <w:r>
        <w:rPr>
          <w:b/>
          <w:i/>
        </w:rPr>
        <w:t xml:space="preserve"> that is considered for </w:t>
      </w:r>
      <w:proofErr w:type="spellStart"/>
      <w:r>
        <w:rPr>
          <w:b/>
          <w:i/>
        </w:rPr>
        <w:t>gNB</w:t>
      </w:r>
      <w:proofErr w:type="spellEnd"/>
      <w:r>
        <w:rPr>
          <w:b/>
          <w:i/>
        </w:rPr>
        <w:t xml:space="preserve"> FFT window placement.</w:t>
      </w:r>
    </w:p>
    <w:p w:rsidR="00315F02" w:rsidRDefault="00315F02" w:rsidP="008A00C1">
      <w:pPr>
        <w:jc w:val="both"/>
      </w:pPr>
      <w:r>
        <w:t xml:space="preserve">For example we can pick TDL-C 300ns model from TR 38.901 and the maximum tap delay is 2.6us, it is clearly larger than the CP length for 30kHz SCS. Needless to say, there </w:t>
      </w:r>
      <w:r w:rsidR="00FB531C">
        <w:t>exists</w:t>
      </w:r>
      <w:r>
        <w:t xml:space="preserve"> other typi</w:t>
      </w:r>
      <w:r w:rsidR="00FB531C">
        <w:t>cal model</w:t>
      </w:r>
      <w:r>
        <w:t xml:space="preserve"> with</w:t>
      </w:r>
      <w:r w:rsidR="00C55403">
        <w:t xml:space="preserve"> even</w:t>
      </w:r>
      <w:r>
        <w:t xml:space="preserve"> larger delay spread</w:t>
      </w:r>
      <w:r w:rsidR="00FB531C">
        <w:t xml:space="preserve"> </w:t>
      </w:r>
      <w:r w:rsidR="00C55403">
        <w:t xml:space="preserve">which cannot be covered by </w:t>
      </w:r>
      <w:r w:rsidR="00FB531C">
        <w:t xml:space="preserve">the CP length for </w:t>
      </w:r>
      <w:proofErr w:type="gramStart"/>
      <w:r w:rsidR="00FB531C">
        <w:t>15kHz</w:t>
      </w:r>
      <w:proofErr w:type="gramEnd"/>
      <w:r w:rsidR="00FB531C">
        <w:t xml:space="preserve"> SCS. </w:t>
      </w:r>
      <w:r>
        <w:t xml:space="preserve">   </w:t>
      </w:r>
    </w:p>
    <w:p w:rsidR="00FB531C" w:rsidRDefault="00FB531C" w:rsidP="008A00C1">
      <w:pPr>
        <w:jc w:val="both"/>
      </w:pPr>
      <w:r>
        <w:t xml:space="preserve">As a result, FFT window can be theoretically put right from the ending of CP, i.e. the entire CP will be excluded before </w:t>
      </w:r>
      <w:proofErr w:type="spellStart"/>
      <w:r>
        <w:t>gNB</w:t>
      </w:r>
      <w:proofErr w:type="spellEnd"/>
      <w:r>
        <w:t xml:space="preserve"> demodulation, so ISI can be limited to lowest level.      </w:t>
      </w:r>
    </w:p>
    <w:p w:rsidR="00292089" w:rsidRDefault="007B7ADB" w:rsidP="008A00C1">
      <w:pPr>
        <w:jc w:val="both"/>
      </w:pPr>
      <w:r>
        <w:t>Another major thing that</w:t>
      </w:r>
      <w:r w:rsidRPr="007B7ADB">
        <w:t xml:space="preserve"> </w:t>
      </w:r>
      <w:r>
        <w:t>should be taken into consideration is</w:t>
      </w:r>
      <w:r w:rsidR="006467EC">
        <w:t xml:space="preserve"> the sync error among multiple accessed UEs</w:t>
      </w:r>
      <w:r w:rsidR="007C2BFC">
        <w:t>, i.e. the signal arrival time for different UE is different on the 1</w:t>
      </w:r>
      <w:r w:rsidR="007C2BFC" w:rsidRPr="00C827F6">
        <w:rPr>
          <w:vertAlign w:val="superscript"/>
        </w:rPr>
        <w:t>st</w:t>
      </w:r>
      <w:r w:rsidR="007C2BFC">
        <w:t xml:space="preserve"> tap</w:t>
      </w:r>
      <w:r w:rsidR="006467EC">
        <w:t>.</w:t>
      </w:r>
      <w:r w:rsidR="007C2BFC">
        <w:t xml:space="preserve"> </w:t>
      </w:r>
    </w:p>
    <w:p w:rsidR="00292089" w:rsidRDefault="00292089" w:rsidP="008A00C1">
      <w:pPr>
        <w:jc w:val="both"/>
      </w:pPr>
      <w:r>
        <w:rPr>
          <w:b/>
          <w:i/>
        </w:rPr>
        <w:t>Observation</w:t>
      </w:r>
      <w:r w:rsidRPr="006606FC">
        <w:rPr>
          <w:b/>
          <w:i/>
        </w:rPr>
        <w:t xml:space="preserve"> </w:t>
      </w:r>
      <w:r w:rsidR="009D5BCF">
        <w:rPr>
          <w:b/>
          <w:i/>
        </w:rPr>
        <w:t>3</w:t>
      </w:r>
      <w:r w:rsidRPr="006606FC">
        <w:rPr>
          <w:b/>
          <w:i/>
        </w:rPr>
        <w:t>:</w:t>
      </w:r>
      <w:r>
        <w:rPr>
          <w:b/>
          <w:i/>
        </w:rPr>
        <w:t xml:space="preserve"> Sync error among all access UEs is another important factor that is considered for </w:t>
      </w:r>
      <w:proofErr w:type="spellStart"/>
      <w:r>
        <w:rPr>
          <w:b/>
          <w:i/>
        </w:rPr>
        <w:t>gNB</w:t>
      </w:r>
      <w:proofErr w:type="spellEnd"/>
      <w:r>
        <w:rPr>
          <w:b/>
          <w:i/>
        </w:rPr>
        <w:t xml:space="preserve"> FFT window placement.</w:t>
      </w:r>
    </w:p>
    <w:p w:rsidR="00A243F7" w:rsidRDefault="006467EC" w:rsidP="008A00C1">
      <w:pPr>
        <w:jc w:val="both"/>
      </w:pPr>
      <w:r>
        <w:t>T</w:t>
      </w:r>
      <w:r w:rsidR="007C2BFC">
        <w:t xml:space="preserve">he margin we observe in the real network is ~10% of CP (10~30Ts). </w:t>
      </w:r>
      <w:r w:rsidR="00292089">
        <w:t>N</w:t>
      </w:r>
      <w:r w:rsidR="007C2BFC">
        <w:t xml:space="preserve">ormally </w:t>
      </w:r>
      <w:proofErr w:type="spellStart"/>
      <w:r w:rsidR="007C2BFC">
        <w:t>gNB</w:t>
      </w:r>
      <w:proofErr w:type="spellEnd"/>
      <w:r w:rsidR="007C2BFC">
        <w:t xml:space="preserve"> </w:t>
      </w:r>
      <w:r w:rsidR="00292089">
        <w:t>can</w:t>
      </w:r>
      <w:r w:rsidR="007C2BFC">
        <w:t xml:space="preserve"> place the FFT window like in </w:t>
      </w:r>
      <w:r w:rsidR="00D06D79">
        <w:t>F</w:t>
      </w:r>
      <w:r w:rsidR="007C2BFC">
        <w:t>igure</w:t>
      </w:r>
      <w:r w:rsidR="00D06D79">
        <w:t xml:space="preserve"> 1</w:t>
      </w:r>
      <w:r w:rsidR="00A243F7">
        <w:t xml:space="preserve"> to </w:t>
      </w:r>
      <w:r w:rsidR="0061364B">
        <w:t>achieve</w:t>
      </w:r>
      <w:r w:rsidR="00A243F7">
        <w:t xml:space="preserve"> better overall performance </w:t>
      </w:r>
      <w:r w:rsidR="0061364B">
        <w:t>considering</w:t>
      </w:r>
      <w:r w:rsidR="00A243F7">
        <w:t xml:space="preserve"> all access UEs.</w:t>
      </w:r>
    </w:p>
    <w:p w:rsidR="00FB531C" w:rsidRDefault="00A243F7" w:rsidP="00A243F7">
      <w:pPr>
        <w:jc w:val="center"/>
      </w:pPr>
      <w:r>
        <w:rPr>
          <w:noProof/>
          <w:lang w:val="en-US"/>
        </w:rPr>
        <w:drawing>
          <wp:inline distT="0" distB="0" distL="0" distR="0">
            <wp:extent cx="3132162" cy="92298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93753" cy="941131"/>
                    </a:xfrm>
                    <a:prstGeom prst="rect">
                      <a:avLst/>
                    </a:prstGeom>
                  </pic:spPr>
                </pic:pic>
              </a:graphicData>
            </a:graphic>
          </wp:inline>
        </w:drawing>
      </w:r>
    </w:p>
    <w:p w:rsidR="00A243F7" w:rsidRDefault="00A243F7" w:rsidP="00A243F7">
      <w:pPr>
        <w:jc w:val="center"/>
      </w:pPr>
      <w:r>
        <w:t>Figure 1.</w:t>
      </w:r>
      <w:r w:rsidR="00D06D79">
        <w:t xml:space="preserve"> </w:t>
      </w:r>
      <w:r w:rsidR="00292089">
        <w:t>One possible</w:t>
      </w:r>
      <w:r w:rsidR="006467EC">
        <w:t xml:space="preserve"> </w:t>
      </w:r>
      <w:proofErr w:type="spellStart"/>
      <w:r w:rsidR="00D06D79">
        <w:t>gNB</w:t>
      </w:r>
      <w:proofErr w:type="spellEnd"/>
      <w:r>
        <w:t xml:space="preserve"> </w:t>
      </w:r>
      <w:r w:rsidR="00D06D79">
        <w:t>implementation for FFT window</w:t>
      </w:r>
    </w:p>
    <w:p w:rsidR="00292089" w:rsidRDefault="00E65F5B" w:rsidP="00D06D79">
      <w:pPr>
        <w:jc w:val="both"/>
        <w:rPr>
          <w:b/>
          <w:i/>
        </w:rPr>
      </w:pPr>
      <w:r>
        <w:t>Apparently</w:t>
      </w:r>
      <w:r w:rsidR="00292089">
        <w:t xml:space="preserve"> </w:t>
      </w:r>
      <w:r w:rsidR="009104DD">
        <w:t>there is a trade-off among</w:t>
      </w:r>
      <w:r w:rsidR="00292089">
        <w:t xml:space="preserve"> all the factors that </w:t>
      </w:r>
      <w:proofErr w:type="spellStart"/>
      <w:r w:rsidR="00292089">
        <w:t>gNB</w:t>
      </w:r>
      <w:proofErr w:type="spellEnd"/>
      <w:r w:rsidR="00292089">
        <w:t xml:space="preserve"> should consider</w:t>
      </w:r>
      <w:r w:rsidR="009104DD">
        <w:t xml:space="preserve"> for</w:t>
      </w:r>
      <w:r w:rsidR="00292089">
        <w:t xml:space="preserve"> the FFT window placement</w:t>
      </w:r>
      <w:r w:rsidR="00740DCC">
        <w:t>. However, the placement</w:t>
      </w:r>
      <w:r w:rsidR="00DE43A3">
        <w:t xml:space="preserve"> must be</w:t>
      </w:r>
      <w:r w:rsidR="00292089">
        <w:t xml:space="preserve"> fixed rather than floating for all access UEs.</w:t>
      </w:r>
      <w:r w:rsidR="00DE43A3">
        <w:t xml:space="preserve"> </w:t>
      </w:r>
      <w:r w:rsidR="00740DCC">
        <w:t>Consequently,</w:t>
      </w:r>
      <w:r>
        <w:t xml:space="preserve"> </w:t>
      </w:r>
      <w:r w:rsidR="00DE43A3">
        <w:t xml:space="preserve">UE implementation should be adaptable </w:t>
      </w:r>
      <w:r w:rsidR="0061364B">
        <w:t>to</w:t>
      </w:r>
      <w:r w:rsidR="00DE43A3">
        <w:t xml:space="preserve"> </w:t>
      </w:r>
      <w:proofErr w:type="spellStart"/>
      <w:r w:rsidR="00DE43A3">
        <w:t>gNB</w:t>
      </w:r>
      <w:proofErr w:type="spellEnd"/>
      <w:r w:rsidR="0061364B">
        <w:t xml:space="preserve"> </w:t>
      </w:r>
      <w:r w:rsidR="00DE43A3">
        <w:t>for better UL performance.</w:t>
      </w:r>
    </w:p>
    <w:p w:rsidR="00D06D79" w:rsidRDefault="00D06D79" w:rsidP="00D06D79">
      <w:pPr>
        <w:jc w:val="both"/>
        <w:rPr>
          <w:b/>
          <w:i/>
        </w:rPr>
      </w:pPr>
      <w:r>
        <w:rPr>
          <w:b/>
          <w:i/>
        </w:rPr>
        <w:t>Observation</w:t>
      </w:r>
      <w:r w:rsidRPr="006606FC">
        <w:rPr>
          <w:b/>
          <w:i/>
        </w:rPr>
        <w:t xml:space="preserve"> </w:t>
      </w:r>
      <w:r w:rsidR="009D5BCF">
        <w:rPr>
          <w:b/>
          <w:i/>
        </w:rPr>
        <w:t>4</w:t>
      </w:r>
      <w:r w:rsidRPr="006606FC">
        <w:rPr>
          <w:b/>
          <w:i/>
        </w:rPr>
        <w:t xml:space="preserve">: </w:t>
      </w:r>
      <w:r w:rsidR="00DE43A3">
        <w:rPr>
          <w:b/>
          <w:i/>
        </w:rPr>
        <w:t xml:space="preserve">Due to the trade-off among all </w:t>
      </w:r>
      <w:r w:rsidR="009F3D24">
        <w:rPr>
          <w:b/>
          <w:i/>
        </w:rPr>
        <w:t xml:space="preserve">possible </w:t>
      </w:r>
      <w:r w:rsidR="00DE43A3">
        <w:rPr>
          <w:b/>
          <w:i/>
        </w:rPr>
        <w:t>factors,</w:t>
      </w:r>
      <w:r w:rsidR="007B1941">
        <w:rPr>
          <w:b/>
          <w:i/>
        </w:rPr>
        <w:t xml:space="preserve"> </w:t>
      </w:r>
      <w:proofErr w:type="spellStart"/>
      <w:r w:rsidR="007B1941">
        <w:rPr>
          <w:b/>
          <w:i/>
        </w:rPr>
        <w:t>gNB</w:t>
      </w:r>
      <w:proofErr w:type="spellEnd"/>
      <w:r w:rsidR="007B1941">
        <w:rPr>
          <w:b/>
          <w:i/>
        </w:rPr>
        <w:t xml:space="preserve"> solution is fixed FFT window placement rather than floating</w:t>
      </w:r>
      <w:r w:rsidR="00C57E7B">
        <w:rPr>
          <w:b/>
          <w:i/>
        </w:rPr>
        <w:t xml:space="preserve"> for all access UEs</w:t>
      </w:r>
      <w:r w:rsidR="007B1941">
        <w:rPr>
          <w:b/>
          <w:i/>
        </w:rPr>
        <w:t>.</w:t>
      </w:r>
      <w:r w:rsidR="00DE43A3">
        <w:rPr>
          <w:b/>
          <w:i/>
        </w:rPr>
        <w:t xml:space="preserve"> </w:t>
      </w:r>
      <w:r w:rsidR="00DE43A3" w:rsidRPr="00DE43A3">
        <w:rPr>
          <w:b/>
          <w:i/>
        </w:rPr>
        <w:t xml:space="preserve">UE implementation should be adaptable </w:t>
      </w:r>
      <w:r w:rsidR="0061364B">
        <w:rPr>
          <w:b/>
          <w:i/>
        </w:rPr>
        <w:t>to</w:t>
      </w:r>
      <w:r w:rsidR="00DE43A3" w:rsidRPr="00DE43A3">
        <w:rPr>
          <w:b/>
          <w:i/>
        </w:rPr>
        <w:t xml:space="preserve"> </w:t>
      </w:r>
      <w:proofErr w:type="spellStart"/>
      <w:r w:rsidR="00DE43A3" w:rsidRPr="00DE43A3">
        <w:rPr>
          <w:b/>
          <w:i/>
        </w:rPr>
        <w:t>gNB</w:t>
      </w:r>
      <w:proofErr w:type="spellEnd"/>
      <w:r w:rsidR="00DE43A3">
        <w:rPr>
          <w:b/>
          <w:i/>
        </w:rPr>
        <w:t xml:space="preserve"> </w:t>
      </w:r>
      <w:r w:rsidR="00DE43A3" w:rsidRPr="00DE43A3">
        <w:rPr>
          <w:b/>
          <w:i/>
        </w:rPr>
        <w:t>for better UL performance</w:t>
      </w:r>
      <w:r>
        <w:rPr>
          <w:b/>
          <w:i/>
        </w:rPr>
        <w:t>.</w:t>
      </w:r>
      <w:r w:rsidR="007B1941">
        <w:rPr>
          <w:b/>
          <w:i/>
        </w:rPr>
        <w:t xml:space="preserve">   </w:t>
      </w:r>
      <w:r>
        <w:rPr>
          <w:b/>
          <w:i/>
        </w:rPr>
        <w:t xml:space="preserve"> </w:t>
      </w:r>
    </w:p>
    <w:p w:rsidR="00430A08" w:rsidRPr="00430A08" w:rsidRDefault="00430A08" w:rsidP="008A00C1">
      <w:pPr>
        <w:jc w:val="both"/>
        <w:rPr>
          <w:b/>
          <w:sz w:val="24"/>
          <w:u w:val="single"/>
        </w:rPr>
      </w:pPr>
      <w:r>
        <w:rPr>
          <w:b/>
          <w:sz w:val="24"/>
          <w:u w:val="single"/>
        </w:rPr>
        <w:t xml:space="preserve">Current EVM test for </w:t>
      </w:r>
      <w:proofErr w:type="spellStart"/>
      <w:r>
        <w:rPr>
          <w:b/>
          <w:sz w:val="24"/>
          <w:u w:val="single"/>
        </w:rPr>
        <w:t>Tp</w:t>
      </w:r>
      <w:proofErr w:type="spellEnd"/>
      <w:r w:rsidRPr="00F717C6">
        <w:rPr>
          <w:b/>
          <w:sz w:val="24"/>
          <w:u w:val="single"/>
        </w:rPr>
        <w:t xml:space="preserve">: </w:t>
      </w:r>
      <w:r>
        <w:rPr>
          <w:b/>
          <w:sz w:val="24"/>
          <w:u w:val="single"/>
        </w:rPr>
        <w:t>A</w:t>
      </w:r>
      <w:r w:rsidRPr="00430A08">
        <w:rPr>
          <w:b/>
          <w:sz w:val="24"/>
          <w:u w:val="single"/>
        </w:rPr>
        <w:t xml:space="preserve">symmetric </w:t>
      </w:r>
      <w:proofErr w:type="spellStart"/>
      <w:r w:rsidRPr="00430A08">
        <w:rPr>
          <w:b/>
          <w:sz w:val="24"/>
          <w:u w:val="single"/>
        </w:rPr>
        <w:t>Tp</w:t>
      </w:r>
      <w:proofErr w:type="spellEnd"/>
      <w:r w:rsidRPr="00430A08">
        <w:rPr>
          <w:b/>
          <w:sz w:val="24"/>
          <w:u w:val="single"/>
        </w:rPr>
        <w:t xml:space="preserve"> position</w:t>
      </w:r>
    </w:p>
    <w:p w:rsidR="00430A08" w:rsidRDefault="00284A48" w:rsidP="00430A08">
      <w:pPr>
        <w:jc w:val="both"/>
      </w:pPr>
      <w:r>
        <w:t>Regarding</w:t>
      </w:r>
      <w:r w:rsidR="00740DCC">
        <w:t xml:space="preserve"> the </w:t>
      </w:r>
      <w:r w:rsidR="00430A08">
        <w:t>test</w:t>
      </w:r>
      <w:r>
        <w:t xml:space="preserve"> method,</w:t>
      </w:r>
      <w:r w:rsidR="00430A08">
        <w:t xml:space="preserve"> </w:t>
      </w:r>
      <w:r w:rsidR="00DE43A3">
        <w:t>i.e</w:t>
      </w:r>
      <w:r w:rsidR="005B4433">
        <w:t xml:space="preserve">. the asymmetric </w:t>
      </w:r>
      <w:proofErr w:type="spellStart"/>
      <w:r w:rsidR="005B4433">
        <w:t>Tp</w:t>
      </w:r>
      <w:proofErr w:type="spellEnd"/>
      <w:r w:rsidR="005B4433">
        <w:t xml:space="preserve"> position </w:t>
      </w:r>
      <w:r w:rsidR="00430A08">
        <w:t>and all related parameters</w:t>
      </w:r>
      <w:r>
        <w:t>,</w:t>
      </w:r>
      <w:r w:rsidR="00430A08">
        <w:t xml:space="preserve"> currently captured in TS 38.101-1</w:t>
      </w:r>
      <w:r w:rsidR="005B4433">
        <w:t xml:space="preserve"> </w:t>
      </w:r>
      <w:r>
        <w:t xml:space="preserve">only has clear guidance for TE to set the </w:t>
      </w:r>
      <m:oMath>
        <m:sSub>
          <m:sSubPr>
            <m:ctrlPr>
              <w:rPr>
                <w:rFonts w:ascii="Cambria Math" w:hAnsi="Cambria Math"/>
              </w:rPr>
            </m:ctrlPr>
          </m:sSubPr>
          <m:e>
            <m:r>
              <w:rPr>
                <w:rFonts w:ascii="Cambria Math" w:hAnsi="Cambria Math"/>
              </w:rPr>
              <m:t>EVM</m:t>
            </m:r>
          </m:e>
          <m:sub>
            <m:r>
              <w:rPr>
                <w:rFonts w:ascii="Cambria Math" w:hAnsi="Cambria Math"/>
              </w:rPr>
              <m:t>h_tp</m:t>
            </m:r>
          </m:sub>
        </m:sSub>
      </m:oMath>
      <w:r>
        <w:t xml:space="preserve"> and </w:t>
      </w:r>
      <m:oMath>
        <m:sSub>
          <m:sSubPr>
            <m:ctrlPr>
              <w:rPr>
                <w:rFonts w:ascii="Cambria Math" w:hAnsi="Cambria Math"/>
              </w:rPr>
            </m:ctrlPr>
          </m:sSubPr>
          <m:e>
            <m:r>
              <w:rPr>
                <w:rFonts w:ascii="Cambria Math" w:hAnsi="Cambria Math"/>
              </w:rPr>
              <m:t>EVM</m:t>
            </m:r>
          </m:e>
          <m:sub>
            <m:r>
              <w:rPr>
                <w:rFonts w:ascii="Cambria Math" w:hAnsi="Cambria Math"/>
              </w:rPr>
              <m:t>l_tp</m:t>
            </m:r>
          </m:sub>
        </m:sSub>
      </m:oMath>
      <w:r>
        <w:t xml:space="preserve">, we believe it is proposed </w:t>
      </w:r>
      <w:r w:rsidR="005B4433">
        <w:t xml:space="preserve">by both considering the UE implementation/testability and </w:t>
      </w:r>
      <w:proofErr w:type="spellStart"/>
      <w:r>
        <w:t>gNB</w:t>
      </w:r>
      <w:proofErr w:type="spellEnd"/>
      <w:r>
        <w:t xml:space="preserve"> demodulation implementation. Because </w:t>
      </w:r>
      <w:proofErr w:type="spellStart"/>
      <w:r>
        <w:t>gNB</w:t>
      </w:r>
      <w:proofErr w:type="spellEnd"/>
      <w:r>
        <w:t xml:space="preserve"> has no idea about where the UE will place its </w:t>
      </w:r>
      <w:proofErr w:type="spellStart"/>
      <w:r>
        <w:t>Tp</w:t>
      </w:r>
      <w:proofErr w:type="spellEnd"/>
      <w:r>
        <w:t xml:space="preserve">, only the length of the </w:t>
      </w:r>
      <w:proofErr w:type="spellStart"/>
      <w:r>
        <w:t>Tp</w:t>
      </w:r>
      <w:proofErr w:type="spellEnd"/>
      <w:r>
        <w:t xml:space="preserve"> will be reported by UE.</w:t>
      </w:r>
      <w:r w:rsidR="005B4433">
        <w:t xml:space="preserve"> </w:t>
      </w:r>
    </w:p>
    <w:tbl>
      <w:tblPr>
        <w:tblStyle w:val="af8"/>
        <w:tblW w:w="0" w:type="auto"/>
        <w:jc w:val="center"/>
        <w:tblLook w:val="04A0" w:firstRow="1" w:lastRow="0" w:firstColumn="1" w:lastColumn="0" w:noHBand="0" w:noVBand="1"/>
      </w:tblPr>
      <w:tblGrid>
        <w:gridCol w:w="8926"/>
      </w:tblGrid>
      <w:tr w:rsidR="00580EA0" w:rsidTr="00430A08">
        <w:trPr>
          <w:jc w:val="center"/>
        </w:trPr>
        <w:tc>
          <w:tcPr>
            <w:tcW w:w="8926" w:type="dxa"/>
          </w:tcPr>
          <w:p w:rsidR="00580EA0" w:rsidRDefault="00580EA0" w:rsidP="00580EA0">
            <w:pPr>
              <w:jc w:val="center"/>
            </w:pPr>
            <w:r>
              <w:rPr>
                <w:noProof/>
                <w:lang w:val="en-US"/>
              </w:rPr>
              <w:drawing>
                <wp:inline distT="0" distB="0" distL="0" distR="0" wp14:anchorId="039EF397" wp14:editId="414D8E0E">
                  <wp:extent cx="5247564" cy="188054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61814" cy="1885652"/>
                          </a:xfrm>
                          <a:prstGeom prst="rect">
                            <a:avLst/>
                          </a:prstGeom>
                        </pic:spPr>
                      </pic:pic>
                    </a:graphicData>
                  </a:graphic>
                </wp:inline>
              </w:drawing>
            </w:r>
          </w:p>
        </w:tc>
      </w:tr>
    </w:tbl>
    <w:p w:rsidR="005B4433" w:rsidRDefault="005B4433" w:rsidP="008A00C1">
      <w:pPr>
        <w:jc w:val="both"/>
      </w:pPr>
      <w:r>
        <w:rPr>
          <w:b/>
          <w:i/>
        </w:rPr>
        <w:t>Observation</w:t>
      </w:r>
      <w:r w:rsidRPr="006606FC">
        <w:rPr>
          <w:b/>
          <w:i/>
        </w:rPr>
        <w:t xml:space="preserve"> </w:t>
      </w:r>
      <w:r w:rsidR="009D5BCF">
        <w:rPr>
          <w:b/>
          <w:i/>
        </w:rPr>
        <w:t>5</w:t>
      </w:r>
      <w:r w:rsidRPr="006606FC">
        <w:rPr>
          <w:b/>
          <w:i/>
        </w:rPr>
        <w:t xml:space="preserve">: </w:t>
      </w:r>
      <w:r>
        <w:rPr>
          <w:b/>
          <w:i/>
        </w:rPr>
        <w:t xml:space="preserve">The transient period capabilities’ test design, </w:t>
      </w:r>
      <w:r w:rsidR="00284A48">
        <w:rPr>
          <w:b/>
          <w:i/>
        </w:rPr>
        <w:t>i</w:t>
      </w:r>
      <w:r>
        <w:rPr>
          <w:b/>
          <w:i/>
        </w:rPr>
        <w:t>.</w:t>
      </w:r>
      <w:r w:rsidR="00284A48">
        <w:rPr>
          <w:b/>
          <w:i/>
        </w:rPr>
        <w:t>e.</w:t>
      </w:r>
      <w:r>
        <w:rPr>
          <w:b/>
          <w:i/>
        </w:rPr>
        <w:t xml:space="preserve"> the asymmetric transient period position, currently captured in TS 38.101-1 has already considered for both UE testability/implementation and </w:t>
      </w:r>
      <w:proofErr w:type="spellStart"/>
      <w:r>
        <w:rPr>
          <w:b/>
          <w:i/>
        </w:rPr>
        <w:t>gNB</w:t>
      </w:r>
      <w:proofErr w:type="spellEnd"/>
      <w:r>
        <w:rPr>
          <w:b/>
          <w:i/>
        </w:rPr>
        <w:t xml:space="preserve"> demodulation implementation.  </w:t>
      </w:r>
    </w:p>
    <w:p w:rsidR="005B4433" w:rsidRDefault="00284A48" w:rsidP="008A00C1">
      <w:pPr>
        <w:jc w:val="both"/>
      </w:pPr>
      <w:r>
        <w:t>W</w:t>
      </w:r>
      <w:r w:rsidR="007F0A2B">
        <w:t xml:space="preserve">e </w:t>
      </w:r>
      <w:r>
        <w:t>would like to</w:t>
      </w:r>
      <w:r w:rsidR="007F0A2B">
        <w:t xml:space="preserve"> </w:t>
      </w:r>
      <w:r>
        <w:t>further analyse</w:t>
      </w:r>
      <w:r w:rsidR="007F0A2B">
        <w:t xml:space="preserve"> the proposed </w:t>
      </w:r>
      <w:proofErr w:type="spellStart"/>
      <w:r w:rsidR="007F0A2B">
        <w:t>tpstart</w:t>
      </w:r>
      <w:proofErr w:type="spellEnd"/>
      <w:r w:rsidR="007F0A2B">
        <w:t xml:space="preserve"> in the noted WF</w:t>
      </w:r>
      <w:r w:rsidR="00EF342C">
        <w:t xml:space="preserve"> with different UE implementation choice</w:t>
      </w:r>
      <w:r w:rsidR="007F0A2B">
        <w:t>:</w:t>
      </w:r>
    </w:p>
    <w:p w:rsidR="008A00C1" w:rsidRDefault="007F0A2B" w:rsidP="00AA2D97">
      <w:pPr>
        <w:jc w:val="both"/>
      </w:pPr>
      <w:r>
        <w:t xml:space="preserve">Considering </w:t>
      </w:r>
      <w:r w:rsidR="00284A48">
        <w:t xml:space="preserve">following </w:t>
      </w:r>
      <w:r w:rsidR="005B65B2">
        <w:t>two types of UE implementation:</w:t>
      </w:r>
    </w:p>
    <w:p w:rsidR="005B65B2" w:rsidRPr="005B65B2" w:rsidRDefault="005B65B2" w:rsidP="005B65B2">
      <w:pPr>
        <w:pStyle w:val="aff6"/>
        <w:numPr>
          <w:ilvl w:val="0"/>
          <w:numId w:val="43"/>
        </w:numPr>
        <w:ind w:firstLineChars="0"/>
        <w:rPr>
          <w:rFonts w:ascii="Times New Roman" w:hAnsi="Times New Roman"/>
          <w:kern w:val="0"/>
          <w:sz w:val="20"/>
          <w:szCs w:val="20"/>
          <w:lang w:val="en-GB" w:eastAsia="zh-CN"/>
        </w:rPr>
      </w:pPr>
      <w:r w:rsidRPr="005B65B2">
        <w:rPr>
          <w:rFonts w:ascii="Times New Roman" w:hAnsi="Times New Roman"/>
          <w:kern w:val="0"/>
          <w:sz w:val="20"/>
          <w:szCs w:val="20"/>
          <w:lang w:val="en-GB" w:eastAsia="zh-CN"/>
        </w:rPr>
        <w:t xml:space="preserve">Type A: </w:t>
      </w:r>
      <w:r>
        <w:rPr>
          <w:rFonts w:ascii="Times New Roman" w:hAnsi="Times New Roman"/>
          <w:kern w:val="0"/>
          <w:sz w:val="20"/>
          <w:szCs w:val="20"/>
          <w:lang w:val="en-GB" w:eastAsia="zh-CN"/>
        </w:rPr>
        <w:t xml:space="preserve">Asymmetrical placement </w:t>
      </w:r>
      <w:r w:rsidRPr="005B65B2">
        <w:rPr>
          <w:rFonts w:ascii="Times New Roman" w:hAnsi="Times New Roman"/>
          <w:kern w:val="0"/>
          <w:sz w:val="20"/>
          <w:szCs w:val="20"/>
          <w:lang w:val="en-GB" w:eastAsia="zh-CN"/>
        </w:rPr>
        <w:t xml:space="preserve">like in Figure F.4-1, i.e. part of </w:t>
      </w:r>
      <w:proofErr w:type="spellStart"/>
      <w:r w:rsidRPr="005B65B2">
        <w:rPr>
          <w:rFonts w:ascii="Times New Roman" w:hAnsi="Times New Roman"/>
          <w:kern w:val="0"/>
          <w:sz w:val="20"/>
          <w:szCs w:val="20"/>
          <w:lang w:val="en-GB" w:eastAsia="zh-CN"/>
        </w:rPr>
        <w:t>Tp</w:t>
      </w:r>
      <w:proofErr w:type="spellEnd"/>
      <w:r w:rsidRPr="005B65B2">
        <w:rPr>
          <w:rFonts w:ascii="Times New Roman" w:hAnsi="Times New Roman"/>
          <w:kern w:val="0"/>
          <w:sz w:val="20"/>
          <w:szCs w:val="20"/>
          <w:lang w:val="en-GB" w:eastAsia="zh-CN"/>
        </w:rPr>
        <w:t xml:space="preserve"> (equal to </w:t>
      </w:r>
      <w:proofErr w:type="spellStart"/>
      <w:r w:rsidRPr="005B65B2">
        <w:rPr>
          <w:rFonts w:ascii="Times New Roman" w:hAnsi="Times New Roman"/>
          <w:kern w:val="0"/>
          <w:sz w:val="20"/>
          <w:szCs w:val="20"/>
          <w:lang w:val="en-GB" w:eastAsia="zh-CN"/>
        </w:rPr>
        <w:t>tpstart</w:t>
      </w:r>
      <w:proofErr w:type="spellEnd"/>
      <w:r w:rsidRPr="005B65B2">
        <w:rPr>
          <w:rFonts w:ascii="Times New Roman" w:hAnsi="Times New Roman"/>
          <w:kern w:val="0"/>
          <w:sz w:val="20"/>
          <w:szCs w:val="20"/>
          <w:lang w:val="en-GB" w:eastAsia="zh-CN"/>
        </w:rPr>
        <w:t xml:space="preserve">) in the “symbol before transient” and the rest of </w:t>
      </w:r>
      <w:proofErr w:type="spellStart"/>
      <w:r w:rsidRPr="005B65B2">
        <w:rPr>
          <w:rFonts w:ascii="Times New Roman" w:hAnsi="Times New Roman"/>
          <w:kern w:val="0"/>
          <w:sz w:val="20"/>
          <w:szCs w:val="20"/>
          <w:lang w:val="en-GB" w:eastAsia="zh-CN"/>
        </w:rPr>
        <w:t>Tp</w:t>
      </w:r>
      <w:proofErr w:type="spellEnd"/>
      <w:r w:rsidRPr="005B65B2">
        <w:rPr>
          <w:rFonts w:ascii="Times New Roman" w:hAnsi="Times New Roman"/>
          <w:kern w:val="0"/>
          <w:sz w:val="20"/>
          <w:szCs w:val="20"/>
          <w:lang w:val="en-GB" w:eastAsia="zh-CN"/>
        </w:rPr>
        <w:t xml:space="preserve"> in the “symbol after transient”</w:t>
      </w:r>
      <w:r>
        <w:rPr>
          <w:rFonts w:ascii="Times New Roman" w:hAnsi="Times New Roman"/>
          <w:kern w:val="0"/>
          <w:sz w:val="20"/>
          <w:szCs w:val="20"/>
          <w:lang w:val="en-GB" w:eastAsia="zh-CN"/>
        </w:rPr>
        <w:t>;</w:t>
      </w:r>
    </w:p>
    <w:p w:rsidR="005B65B2" w:rsidRPr="005B65B2" w:rsidRDefault="005B65B2" w:rsidP="005B65B2">
      <w:pPr>
        <w:pStyle w:val="aff6"/>
        <w:numPr>
          <w:ilvl w:val="0"/>
          <w:numId w:val="43"/>
        </w:numPr>
        <w:ind w:firstLineChars="0"/>
        <w:rPr>
          <w:rFonts w:ascii="Times New Roman" w:hAnsi="Times New Roman"/>
          <w:kern w:val="0"/>
          <w:sz w:val="20"/>
          <w:szCs w:val="20"/>
          <w:lang w:val="en-GB" w:eastAsia="zh-CN"/>
        </w:rPr>
      </w:pPr>
      <w:r w:rsidRPr="005B65B2">
        <w:rPr>
          <w:rFonts w:ascii="Times New Roman" w:hAnsi="Times New Roman"/>
          <w:kern w:val="0"/>
          <w:sz w:val="20"/>
          <w:szCs w:val="20"/>
          <w:lang w:val="en-GB" w:eastAsia="zh-CN"/>
        </w:rPr>
        <w:t xml:space="preserve">Type B: </w:t>
      </w:r>
      <w:r>
        <w:rPr>
          <w:rFonts w:ascii="Times New Roman" w:hAnsi="Times New Roman"/>
          <w:kern w:val="0"/>
          <w:sz w:val="20"/>
          <w:szCs w:val="20"/>
          <w:lang w:val="en-GB" w:eastAsia="zh-CN"/>
        </w:rPr>
        <w:t xml:space="preserve">All </w:t>
      </w:r>
      <w:proofErr w:type="spellStart"/>
      <w:r>
        <w:rPr>
          <w:rFonts w:ascii="Times New Roman" w:hAnsi="Times New Roman"/>
          <w:kern w:val="0"/>
          <w:sz w:val="20"/>
          <w:szCs w:val="20"/>
          <w:lang w:val="en-GB" w:eastAsia="zh-CN"/>
        </w:rPr>
        <w:t>Tp</w:t>
      </w:r>
      <w:proofErr w:type="spellEnd"/>
      <w:r>
        <w:rPr>
          <w:rFonts w:ascii="Times New Roman" w:hAnsi="Times New Roman"/>
          <w:kern w:val="0"/>
          <w:sz w:val="20"/>
          <w:szCs w:val="20"/>
          <w:lang w:val="en-GB" w:eastAsia="zh-CN"/>
        </w:rPr>
        <w:t xml:space="preserve"> in the “</w:t>
      </w:r>
      <w:r w:rsidRPr="005B65B2">
        <w:rPr>
          <w:rFonts w:ascii="Times New Roman" w:hAnsi="Times New Roman"/>
          <w:kern w:val="0"/>
          <w:sz w:val="20"/>
          <w:szCs w:val="20"/>
          <w:lang w:val="en-GB" w:eastAsia="zh-CN"/>
        </w:rPr>
        <w:t>symbol after transient</w:t>
      </w:r>
      <w:r>
        <w:rPr>
          <w:rFonts w:ascii="Times New Roman" w:hAnsi="Times New Roman"/>
          <w:kern w:val="0"/>
          <w:sz w:val="20"/>
          <w:szCs w:val="20"/>
          <w:lang w:val="en-GB" w:eastAsia="zh-CN"/>
        </w:rPr>
        <w:t>”.</w:t>
      </w:r>
    </w:p>
    <w:p w:rsidR="00C740C4" w:rsidRDefault="00C740C4" w:rsidP="00C740C4">
      <w:pPr>
        <w:jc w:val="both"/>
        <w:rPr>
          <w:b/>
          <w:sz w:val="22"/>
          <w:u w:val="single"/>
        </w:rPr>
      </w:pPr>
    </w:p>
    <w:p w:rsidR="00C740C4" w:rsidRPr="00C740C4" w:rsidRDefault="00C740C4" w:rsidP="00C740C4">
      <w:pPr>
        <w:jc w:val="both"/>
        <w:rPr>
          <w:b/>
          <w:sz w:val="22"/>
          <w:u w:val="single"/>
        </w:rPr>
      </w:pPr>
      <w:r>
        <w:rPr>
          <w:b/>
          <w:sz w:val="22"/>
          <w:u w:val="single"/>
        </w:rPr>
        <w:t xml:space="preserve">Example 1: </w:t>
      </w:r>
      <w:proofErr w:type="gramStart"/>
      <w:r>
        <w:rPr>
          <w:b/>
          <w:sz w:val="22"/>
          <w:u w:val="single"/>
        </w:rPr>
        <w:t>15kHz</w:t>
      </w:r>
      <w:proofErr w:type="gramEnd"/>
      <w:r>
        <w:rPr>
          <w:b/>
          <w:sz w:val="22"/>
          <w:u w:val="single"/>
        </w:rPr>
        <w:t xml:space="preserve"> SCS (CP = 4.7us) and </w:t>
      </w:r>
      <w:proofErr w:type="spellStart"/>
      <w:r>
        <w:rPr>
          <w:b/>
          <w:sz w:val="22"/>
          <w:u w:val="single"/>
        </w:rPr>
        <w:t>Tp</w:t>
      </w:r>
      <w:proofErr w:type="spellEnd"/>
      <w:r>
        <w:rPr>
          <w:b/>
          <w:sz w:val="22"/>
          <w:u w:val="single"/>
        </w:rPr>
        <w:t xml:space="preserve"> = </w:t>
      </w:r>
      <w:r w:rsidR="00EF342C">
        <w:rPr>
          <w:b/>
          <w:sz w:val="22"/>
          <w:u w:val="single"/>
        </w:rPr>
        <w:t>2</w:t>
      </w:r>
      <w:r>
        <w:rPr>
          <w:b/>
          <w:sz w:val="22"/>
          <w:u w:val="single"/>
        </w:rPr>
        <w:t>us</w:t>
      </w:r>
    </w:p>
    <w:tbl>
      <w:tblPr>
        <w:tblStyle w:val="af8"/>
        <w:tblW w:w="0" w:type="auto"/>
        <w:tblLook w:val="04A0" w:firstRow="1" w:lastRow="0" w:firstColumn="1" w:lastColumn="0" w:noHBand="0" w:noVBand="1"/>
      </w:tblPr>
      <w:tblGrid>
        <w:gridCol w:w="3210"/>
        <w:gridCol w:w="3210"/>
        <w:gridCol w:w="3211"/>
      </w:tblGrid>
      <w:tr w:rsidR="00C740C4" w:rsidTr="00C740C4">
        <w:tc>
          <w:tcPr>
            <w:tcW w:w="3210" w:type="dxa"/>
            <w:vAlign w:val="center"/>
          </w:tcPr>
          <w:p w:rsidR="00C740C4" w:rsidRDefault="00C740C4" w:rsidP="00C740C4">
            <w:pPr>
              <w:jc w:val="center"/>
            </w:pPr>
          </w:p>
        </w:tc>
        <w:tc>
          <w:tcPr>
            <w:tcW w:w="3210" w:type="dxa"/>
            <w:vAlign w:val="center"/>
          </w:tcPr>
          <w:p w:rsidR="00C740C4" w:rsidRDefault="00C740C4" w:rsidP="00C740C4">
            <w:pPr>
              <w:jc w:val="center"/>
            </w:pPr>
            <w:r>
              <w:t>Type A</w:t>
            </w:r>
          </w:p>
        </w:tc>
        <w:tc>
          <w:tcPr>
            <w:tcW w:w="3211" w:type="dxa"/>
            <w:vAlign w:val="center"/>
          </w:tcPr>
          <w:p w:rsidR="00C740C4" w:rsidRDefault="00C740C4" w:rsidP="00C740C4">
            <w:pPr>
              <w:jc w:val="center"/>
            </w:pPr>
            <w:r>
              <w:t>Type B</w:t>
            </w:r>
          </w:p>
        </w:tc>
      </w:tr>
      <w:tr w:rsidR="00C740C4" w:rsidTr="00C740C4">
        <w:tc>
          <w:tcPr>
            <w:tcW w:w="3210" w:type="dxa"/>
            <w:vAlign w:val="center"/>
          </w:tcPr>
          <w:p w:rsidR="00C740C4" w:rsidRDefault="00EF342C" w:rsidP="00C740C4">
            <w:pPr>
              <w:jc w:val="center"/>
            </w:pPr>
            <w:proofErr w:type="spellStart"/>
            <w:r>
              <w:t>Tpstart</w:t>
            </w:r>
            <w:proofErr w:type="spellEnd"/>
            <w:r>
              <w:t xml:space="preserve"> = -0.5</w:t>
            </w:r>
          </w:p>
        </w:tc>
        <w:tc>
          <w:tcPr>
            <w:tcW w:w="3210" w:type="dxa"/>
            <w:vAlign w:val="center"/>
          </w:tcPr>
          <w:p w:rsidR="00EF342C" w:rsidRDefault="00C740C4" w:rsidP="00EF342C">
            <w:pPr>
              <w:jc w:val="center"/>
            </w:pPr>
            <w:r>
              <w:t>Baseline</w:t>
            </w:r>
          </w:p>
          <w:p w:rsidR="00EF342C" w:rsidRDefault="00EF342C" w:rsidP="00EF342C">
            <w:pPr>
              <w:jc w:val="both"/>
            </w:pPr>
            <w:r>
              <w:t>0.5us overlaps with the tail of “symbol before transient” and 1.5us within the CP of “symbol after transient”</w:t>
            </w:r>
          </w:p>
        </w:tc>
        <w:tc>
          <w:tcPr>
            <w:tcW w:w="3211" w:type="dxa"/>
            <w:vAlign w:val="center"/>
          </w:tcPr>
          <w:p w:rsidR="00C740C4" w:rsidRDefault="00EF342C" w:rsidP="00C740C4">
            <w:pPr>
              <w:jc w:val="center"/>
            </w:pPr>
            <w:r>
              <w:t>Baseline</w:t>
            </w:r>
          </w:p>
          <w:p w:rsidR="00EF342C" w:rsidRDefault="00616E37" w:rsidP="00616E37">
            <w:pPr>
              <w:jc w:val="both"/>
            </w:pPr>
            <w:r>
              <w:t>2</w:t>
            </w:r>
            <w:r w:rsidR="00EF342C">
              <w:t>us within the CP of “symbol after transient”</w:t>
            </w:r>
            <w:r w:rsidR="007F6EB2">
              <w:t xml:space="preserve">. </w:t>
            </w:r>
          </w:p>
        </w:tc>
      </w:tr>
      <w:tr w:rsidR="00C740C4" w:rsidTr="00C740C4">
        <w:tc>
          <w:tcPr>
            <w:tcW w:w="3210" w:type="dxa"/>
            <w:vAlign w:val="center"/>
          </w:tcPr>
          <w:p w:rsidR="00C740C4" w:rsidRDefault="00EF342C" w:rsidP="00C740C4">
            <w:pPr>
              <w:jc w:val="center"/>
            </w:pPr>
            <w:proofErr w:type="spellStart"/>
            <w:r w:rsidRPr="00BE3093">
              <w:rPr>
                <w:highlight w:val="yellow"/>
              </w:rPr>
              <w:t>Tpstart</w:t>
            </w:r>
            <w:proofErr w:type="spellEnd"/>
            <w:r w:rsidRPr="00BE3093">
              <w:rPr>
                <w:highlight w:val="yellow"/>
              </w:rPr>
              <w:t xml:space="preserve"> = -0.6</w:t>
            </w:r>
          </w:p>
        </w:tc>
        <w:tc>
          <w:tcPr>
            <w:tcW w:w="3210" w:type="dxa"/>
            <w:vAlign w:val="center"/>
          </w:tcPr>
          <w:p w:rsidR="00C740C4" w:rsidRDefault="00EF342C" w:rsidP="00616E37">
            <w:pPr>
              <w:jc w:val="both"/>
            </w:pPr>
            <w:r w:rsidRPr="00EF342C">
              <w:rPr>
                <w:highlight w:val="yellow"/>
              </w:rPr>
              <w:t>UL performance loss</w:t>
            </w:r>
            <w:r w:rsidR="00616E37">
              <w:rPr>
                <w:highlight w:val="yellow"/>
              </w:rPr>
              <w:t xml:space="preserve"> due to the additional 0.1</w:t>
            </w:r>
            <w:r w:rsidRPr="00EF342C">
              <w:rPr>
                <w:highlight w:val="yellow"/>
              </w:rPr>
              <w:t>us in “symbol before transient</w:t>
            </w:r>
            <w:r w:rsidRPr="00490C89">
              <w:rPr>
                <w:highlight w:val="yellow"/>
              </w:rPr>
              <w:t>”</w:t>
            </w:r>
            <w:r w:rsidR="00490C89" w:rsidRPr="00490C89">
              <w:rPr>
                <w:highlight w:val="yellow"/>
              </w:rPr>
              <w:t xml:space="preserve"> occupied by </w:t>
            </w:r>
            <w:proofErr w:type="spellStart"/>
            <w:r w:rsidR="00490C89" w:rsidRPr="00490C89">
              <w:rPr>
                <w:highlight w:val="yellow"/>
              </w:rPr>
              <w:t>Tp</w:t>
            </w:r>
            <w:proofErr w:type="spellEnd"/>
          </w:p>
        </w:tc>
        <w:tc>
          <w:tcPr>
            <w:tcW w:w="3211" w:type="dxa"/>
            <w:vAlign w:val="center"/>
          </w:tcPr>
          <w:p w:rsidR="00616E37" w:rsidRDefault="00616E37" w:rsidP="00616E37">
            <w:pPr>
              <w:jc w:val="both"/>
            </w:pPr>
            <w:r w:rsidRPr="00616E37">
              <w:rPr>
                <w:highlight w:val="yellow"/>
              </w:rPr>
              <w:t xml:space="preserve">More </w:t>
            </w:r>
            <w:proofErr w:type="spellStart"/>
            <w:r w:rsidRPr="00616E37">
              <w:rPr>
                <w:highlight w:val="yellow"/>
              </w:rPr>
              <w:t>Tp</w:t>
            </w:r>
            <w:proofErr w:type="spellEnd"/>
            <w:r w:rsidRPr="00616E37">
              <w:rPr>
                <w:highlight w:val="yellow"/>
              </w:rPr>
              <w:t xml:space="preserve"> shifts outside of the asymmetric </w:t>
            </w:r>
            <w:proofErr w:type="spellStart"/>
            <w:r w:rsidR="003A5E62">
              <w:rPr>
                <w:highlight w:val="yellow"/>
              </w:rPr>
              <w:t>T</w:t>
            </w:r>
            <w:r w:rsidRPr="00616E37">
              <w:rPr>
                <w:highlight w:val="yellow"/>
              </w:rPr>
              <w:t>p</w:t>
            </w:r>
            <w:proofErr w:type="spellEnd"/>
            <w:r w:rsidRPr="00616E37">
              <w:rPr>
                <w:highlight w:val="yellow"/>
              </w:rPr>
              <w:t xml:space="preserve"> window (from 0.5us to 0.6us). Maybe more difficult for UE to pass the test.</w:t>
            </w:r>
          </w:p>
        </w:tc>
      </w:tr>
    </w:tbl>
    <w:p w:rsidR="005B65B2" w:rsidRDefault="00490C89" w:rsidP="00AA2D97">
      <w:pPr>
        <w:jc w:val="both"/>
      </w:pPr>
      <w:r>
        <w:t>Obviously</w:t>
      </w:r>
      <w:r w:rsidR="007B1941">
        <w:t>,</w:t>
      </w:r>
      <w:r>
        <w:t xml:space="preserve"> we can have similar observation with </w:t>
      </w:r>
      <w:proofErr w:type="gramStart"/>
      <w:r>
        <w:t>30kHz</w:t>
      </w:r>
      <w:proofErr w:type="gramEnd"/>
      <w:r>
        <w:t xml:space="preserve"> SCS.</w:t>
      </w:r>
    </w:p>
    <w:p w:rsidR="00490C89" w:rsidRPr="00C740C4" w:rsidRDefault="00490C89" w:rsidP="00490C89">
      <w:pPr>
        <w:jc w:val="both"/>
        <w:rPr>
          <w:b/>
          <w:sz w:val="22"/>
          <w:u w:val="single"/>
        </w:rPr>
      </w:pPr>
      <w:r>
        <w:rPr>
          <w:b/>
          <w:sz w:val="22"/>
          <w:u w:val="single"/>
        </w:rPr>
        <w:t xml:space="preserve">Example 2: </w:t>
      </w:r>
      <w:proofErr w:type="gramStart"/>
      <w:r>
        <w:rPr>
          <w:b/>
          <w:sz w:val="22"/>
          <w:u w:val="single"/>
        </w:rPr>
        <w:t>15kHz</w:t>
      </w:r>
      <w:proofErr w:type="gramEnd"/>
      <w:r>
        <w:rPr>
          <w:b/>
          <w:sz w:val="22"/>
          <w:u w:val="single"/>
        </w:rPr>
        <w:t xml:space="preserve"> SCS (CP = 4.7us) and </w:t>
      </w:r>
      <w:proofErr w:type="spellStart"/>
      <w:r>
        <w:rPr>
          <w:b/>
          <w:sz w:val="22"/>
          <w:u w:val="single"/>
        </w:rPr>
        <w:t>Tp</w:t>
      </w:r>
      <w:proofErr w:type="spellEnd"/>
      <w:r>
        <w:rPr>
          <w:b/>
          <w:sz w:val="22"/>
          <w:u w:val="single"/>
        </w:rPr>
        <w:t xml:space="preserve"> = 7us</w:t>
      </w:r>
    </w:p>
    <w:tbl>
      <w:tblPr>
        <w:tblStyle w:val="af8"/>
        <w:tblW w:w="0" w:type="auto"/>
        <w:tblLook w:val="04A0" w:firstRow="1" w:lastRow="0" w:firstColumn="1" w:lastColumn="0" w:noHBand="0" w:noVBand="1"/>
      </w:tblPr>
      <w:tblGrid>
        <w:gridCol w:w="3210"/>
        <w:gridCol w:w="3210"/>
        <w:gridCol w:w="3211"/>
      </w:tblGrid>
      <w:tr w:rsidR="00490C89" w:rsidTr="0003455D">
        <w:tc>
          <w:tcPr>
            <w:tcW w:w="3210" w:type="dxa"/>
            <w:vAlign w:val="center"/>
          </w:tcPr>
          <w:p w:rsidR="00490C89" w:rsidRDefault="00490C89" w:rsidP="0003455D">
            <w:pPr>
              <w:jc w:val="center"/>
            </w:pPr>
          </w:p>
        </w:tc>
        <w:tc>
          <w:tcPr>
            <w:tcW w:w="3210" w:type="dxa"/>
            <w:vAlign w:val="center"/>
          </w:tcPr>
          <w:p w:rsidR="00490C89" w:rsidRDefault="00490C89" w:rsidP="0003455D">
            <w:pPr>
              <w:jc w:val="center"/>
            </w:pPr>
            <w:r>
              <w:t>Type A</w:t>
            </w:r>
          </w:p>
        </w:tc>
        <w:tc>
          <w:tcPr>
            <w:tcW w:w="3211" w:type="dxa"/>
            <w:vAlign w:val="center"/>
          </w:tcPr>
          <w:p w:rsidR="00490C89" w:rsidRDefault="00490C89" w:rsidP="0003455D">
            <w:pPr>
              <w:jc w:val="center"/>
            </w:pPr>
            <w:r>
              <w:t>Type B</w:t>
            </w:r>
          </w:p>
        </w:tc>
      </w:tr>
      <w:tr w:rsidR="00490C89" w:rsidTr="0003455D">
        <w:tc>
          <w:tcPr>
            <w:tcW w:w="3210" w:type="dxa"/>
            <w:vAlign w:val="center"/>
          </w:tcPr>
          <w:p w:rsidR="00490C89" w:rsidRDefault="00490C89" w:rsidP="00490C89">
            <w:pPr>
              <w:jc w:val="center"/>
            </w:pPr>
            <w:proofErr w:type="spellStart"/>
            <w:r>
              <w:t>Tpstart</w:t>
            </w:r>
            <w:proofErr w:type="spellEnd"/>
            <w:r>
              <w:t xml:space="preserve"> = -2</w:t>
            </w:r>
          </w:p>
        </w:tc>
        <w:tc>
          <w:tcPr>
            <w:tcW w:w="3210" w:type="dxa"/>
            <w:vAlign w:val="center"/>
          </w:tcPr>
          <w:p w:rsidR="00490C89" w:rsidRDefault="00490C89" w:rsidP="0003455D">
            <w:pPr>
              <w:jc w:val="center"/>
            </w:pPr>
            <w:r>
              <w:t>Baseline</w:t>
            </w:r>
          </w:p>
          <w:p w:rsidR="00490C89" w:rsidRDefault="00490C89" w:rsidP="0003455D">
            <w:pPr>
              <w:jc w:val="both"/>
            </w:pPr>
            <w:r>
              <w:t>2us overlaps with the tail of “symbol before transient” and 5us within the CP of “symbol after transient”</w:t>
            </w:r>
          </w:p>
        </w:tc>
        <w:tc>
          <w:tcPr>
            <w:tcW w:w="3211" w:type="dxa"/>
            <w:vAlign w:val="center"/>
          </w:tcPr>
          <w:p w:rsidR="00490C89" w:rsidRDefault="00490C89" w:rsidP="0003455D">
            <w:pPr>
              <w:jc w:val="center"/>
            </w:pPr>
            <w:r>
              <w:t>Baseline</w:t>
            </w:r>
          </w:p>
          <w:p w:rsidR="00490C89" w:rsidRDefault="00490C89" w:rsidP="00490C89">
            <w:pPr>
              <w:jc w:val="both"/>
            </w:pPr>
            <w:r>
              <w:t>7us starts from the CP of “symbol after transient”</w:t>
            </w:r>
          </w:p>
        </w:tc>
      </w:tr>
      <w:tr w:rsidR="00490C89" w:rsidTr="0003455D">
        <w:tc>
          <w:tcPr>
            <w:tcW w:w="3210" w:type="dxa"/>
            <w:vAlign w:val="center"/>
          </w:tcPr>
          <w:p w:rsidR="00490C89" w:rsidRDefault="00490C89" w:rsidP="00490C89">
            <w:pPr>
              <w:jc w:val="center"/>
            </w:pPr>
            <w:proofErr w:type="spellStart"/>
            <w:r w:rsidRPr="00BE3093">
              <w:rPr>
                <w:highlight w:val="yellow"/>
              </w:rPr>
              <w:t>Tpstart</w:t>
            </w:r>
            <w:proofErr w:type="spellEnd"/>
            <w:r w:rsidRPr="00BE3093">
              <w:rPr>
                <w:highlight w:val="yellow"/>
              </w:rPr>
              <w:t xml:space="preserve"> = -2.7</w:t>
            </w:r>
          </w:p>
        </w:tc>
        <w:tc>
          <w:tcPr>
            <w:tcW w:w="3210" w:type="dxa"/>
            <w:vAlign w:val="center"/>
          </w:tcPr>
          <w:p w:rsidR="00490C89" w:rsidRDefault="00490C89" w:rsidP="0003455D">
            <w:pPr>
              <w:jc w:val="both"/>
            </w:pPr>
            <w:r w:rsidRPr="00EF342C">
              <w:rPr>
                <w:highlight w:val="yellow"/>
              </w:rPr>
              <w:t>UL performance loss</w:t>
            </w:r>
            <w:r>
              <w:rPr>
                <w:highlight w:val="yellow"/>
              </w:rPr>
              <w:t xml:space="preserve"> due to the additional 0.7</w:t>
            </w:r>
            <w:r w:rsidRPr="00EF342C">
              <w:rPr>
                <w:highlight w:val="yellow"/>
              </w:rPr>
              <w:t>us in “symbol before transient</w:t>
            </w:r>
            <w:r w:rsidRPr="00490C89">
              <w:rPr>
                <w:highlight w:val="yellow"/>
              </w:rPr>
              <w:t xml:space="preserve">” occupied by </w:t>
            </w:r>
            <w:proofErr w:type="spellStart"/>
            <w:r w:rsidRPr="00490C89">
              <w:rPr>
                <w:highlight w:val="yellow"/>
              </w:rPr>
              <w:t>Tp</w:t>
            </w:r>
            <w:proofErr w:type="spellEnd"/>
          </w:p>
        </w:tc>
        <w:tc>
          <w:tcPr>
            <w:tcW w:w="3211" w:type="dxa"/>
            <w:vAlign w:val="center"/>
          </w:tcPr>
          <w:p w:rsidR="00490C89" w:rsidRDefault="00490C89" w:rsidP="00490C89">
            <w:pPr>
              <w:jc w:val="both"/>
            </w:pPr>
            <w:r w:rsidRPr="00616E37">
              <w:rPr>
                <w:highlight w:val="yellow"/>
              </w:rPr>
              <w:t xml:space="preserve">More </w:t>
            </w:r>
            <w:proofErr w:type="spellStart"/>
            <w:r w:rsidRPr="00616E37">
              <w:rPr>
                <w:highlight w:val="yellow"/>
              </w:rPr>
              <w:t>Tp</w:t>
            </w:r>
            <w:proofErr w:type="spellEnd"/>
            <w:r w:rsidRPr="00616E37">
              <w:rPr>
                <w:highlight w:val="yellow"/>
              </w:rPr>
              <w:t xml:space="preserve"> shifts outside of the asymmetric </w:t>
            </w:r>
            <w:proofErr w:type="spellStart"/>
            <w:r>
              <w:rPr>
                <w:highlight w:val="yellow"/>
              </w:rPr>
              <w:t>T</w:t>
            </w:r>
            <w:r w:rsidRPr="00616E37">
              <w:rPr>
                <w:highlight w:val="yellow"/>
              </w:rPr>
              <w:t>p</w:t>
            </w:r>
            <w:proofErr w:type="spellEnd"/>
            <w:r w:rsidRPr="00616E37">
              <w:rPr>
                <w:highlight w:val="yellow"/>
              </w:rPr>
              <w:t xml:space="preserve"> window (from 5us </w:t>
            </w:r>
            <w:r>
              <w:rPr>
                <w:highlight w:val="yellow"/>
              </w:rPr>
              <w:t>to 5.7</w:t>
            </w:r>
            <w:r w:rsidRPr="00616E37">
              <w:rPr>
                <w:highlight w:val="yellow"/>
              </w:rPr>
              <w:t>us). Maybe more difficult for UE to pass the test.</w:t>
            </w:r>
          </w:p>
        </w:tc>
      </w:tr>
    </w:tbl>
    <w:p w:rsidR="00C740C4" w:rsidRDefault="007F2428" w:rsidP="00AA2D97">
      <w:pPr>
        <w:jc w:val="both"/>
      </w:pPr>
      <w:r>
        <w:t xml:space="preserve">Apparently, the proposed modification in the noted WF can cause UL performance </w:t>
      </w:r>
      <w:r w:rsidR="00BE3093">
        <w:t>loss</w:t>
      </w:r>
      <w:r w:rsidR="0069190E">
        <w:t xml:space="preserve"> or potential test performance degradation</w:t>
      </w:r>
      <w:r w:rsidR="00BE3093">
        <w:t xml:space="preserve">, and it should be noted that our analysis is based on the assumption of all UEs have the same implementation on </w:t>
      </w:r>
      <w:proofErr w:type="spellStart"/>
      <w:r w:rsidR="00BE3093">
        <w:t>Tp</w:t>
      </w:r>
      <w:proofErr w:type="spellEnd"/>
      <w:r w:rsidR="00BE3093">
        <w:t xml:space="preserve"> placement. In conclusion, we still prefer to keep the current values in the spec like we have proposed </w:t>
      </w:r>
      <w:r w:rsidR="00BA6784">
        <w:t>in</w:t>
      </w:r>
      <w:r w:rsidR="00BE3093">
        <w:t xml:space="preserve"> CR [3]. </w:t>
      </w:r>
    </w:p>
    <w:p w:rsidR="00BE3093" w:rsidRDefault="00BE3093" w:rsidP="00BE3093">
      <w:pPr>
        <w:jc w:val="both"/>
        <w:rPr>
          <w:b/>
          <w:i/>
        </w:rPr>
      </w:pPr>
      <w:r>
        <w:rPr>
          <w:b/>
          <w:i/>
        </w:rPr>
        <w:t>Proposal</w:t>
      </w:r>
      <w:r w:rsidR="00C70F42">
        <w:rPr>
          <w:b/>
          <w:i/>
        </w:rPr>
        <w:t xml:space="preserve"> 2</w:t>
      </w:r>
      <w:r w:rsidRPr="006606FC">
        <w:rPr>
          <w:b/>
          <w:i/>
        </w:rPr>
        <w:t xml:space="preserve">: </w:t>
      </w:r>
      <w:r>
        <w:rPr>
          <w:b/>
          <w:i/>
        </w:rPr>
        <w:t xml:space="preserve">Remove </w:t>
      </w:r>
      <w:r w:rsidR="00BA6784">
        <w:rPr>
          <w:b/>
          <w:i/>
        </w:rPr>
        <w:t>all the brac</w:t>
      </w:r>
      <w:r>
        <w:rPr>
          <w:b/>
          <w:i/>
        </w:rPr>
        <w:t xml:space="preserve">ket </w:t>
      </w:r>
      <w:r w:rsidR="00BA6784">
        <w:rPr>
          <w:b/>
          <w:i/>
        </w:rPr>
        <w:t>for shorter transient period requirements</w:t>
      </w:r>
      <w:r>
        <w:rPr>
          <w:b/>
          <w:i/>
        </w:rPr>
        <w:t xml:space="preserve">, </w:t>
      </w:r>
      <w:r w:rsidR="00BA6784">
        <w:rPr>
          <w:b/>
          <w:i/>
        </w:rPr>
        <w:t xml:space="preserve">including </w:t>
      </w:r>
      <w:proofErr w:type="spellStart"/>
      <w:r w:rsidR="00BA6784">
        <w:rPr>
          <w:b/>
          <w:i/>
        </w:rPr>
        <w:t>tpstart</w:t>
      </w:r>
      <w:proofErr w:type="spellEnd"/>
      <w:r w:rsidR="00BA6784">
        <w:rPr>
          <w:b/>
          <w:i/>
        </w:rPr>
        <w:t xml:space="preserve"> value for each </w:t>
      </w:r>
      <w:proofErr w:type="spellStart"/>
      <w:r w:rsidR="00BA6784">
        <w:rPr>
          <w:b/>
          <w:i/>
        </w:rPr>
        <w:t>Tp</w:t>
      </w:r>
      <w:proofErr w:type="spellEnd"/>
      <w:r w:rsidR="00BA6784">
        <w:rPr>
          <w:b/>
          <w:i/>
        </w:rPr>
        <w:t xml:space="preserve"> and </w:t>
      </w:r>
      <w:r w:rsidR="007F6EB2">
        <w:rPr>
          <w:b/>
          <w:i/>
        </w:rPr>
        <w:t xml:space="preserve">relaxed </w:t>
      </w:r>
      <w:r w:rsidR="00BA6784">
        <w:rPr>
          <w:b/>
          <w:i/>
        </w:rPr>
        <w:t>EVM requirements</w:t>
      </w:r>
      <w:r>
        <w:rPr>
          <w:b/>
          <w:i/>
        </w:rPr>
        <w:t>.</w:t>
      </w:r>
    </w:p>
    <w:p w:rsidR="00AB1467" w:rsidRPr="00B070B5" w:rsidRDefault="00AB1467" w:rsidP="00FB341C">
      <w:pPr>
        <w:spacing w:after="120"/>
        <w:rPr>
          <w:b/>
          <w:i/>
        </w:rPr>
      </w:pPr>
    </w:p>
    <w:p w:rsidR="00A33E8E" w:rsidRDefault="00A33E8E" w:rsidP="00A33E8E">
      <w:pPr>
        <w:pStyle w:val="1"/>
        <w:spacing w:after="240"/>
        <w:rPr>
          <w:rFonts w:eastAsia="宋体"/>
          <w:lang w:eastAsia="zh-CN"/>
        </w:rPr>
      </w:pPr>
      <w:r>
        <w:rPr>
          <w:rFonts w:eastAsia="宋体" w:hint="eastAsia"/>
          <w:lang w:eastAsia="zh-CN"/>
        </w:rPr>
        <w:t>Conclusion</w:t>
      </w:r>
    </w:p>
    <w:p w:rsidR="00AB1467" w:rsidRDefault="00AB1467" w:rsidP="00AA2D97">
      <w:pPr>
        <w:jc w:val="both"/>
        <w:rPr>
          <w:b/>
          <w:i/>
          <w:lang w:val="en-US"/>
        </w:rPr>
      </w:pPr>
      <w:r w:rsidRPr="00086BFD">
        <w:t>In this contribution we discussed</w:t>
      </w:r>
      <w:r>
        <w:rPr>
          <w:rFonts w:hint="eastAsia"/>
        </w:rPr>
        <w:t xml:space="preserve"> </w:t>
      </w:r>
      <w:r w:rsidRPr="00086BFD">
        <w:t>on the</w:t>
      </w:r>
      <w:r w:rsidR="00BA6784">
        <w:t xml:space="preserve"> open issue</w:t>
      </w:r>
      <w:r>
        <w:t xml:space="preserve"> on </w:t>
      </w:r>
      <w:r w:rsidR="00BA6784">
        <w:t>transient period capability</w:t>
      </w:r>
      <w:r w:rsidRPr="00086BFD">
        <w:t xml:space="preserve">, according to the analysis, we have the following </w:t>
      </w:r>
      <w:r w:rsidR="00FB341C">
        <w:t>observation</w:t>
      </w:r>
      <w:r w:rsidR="00BA6784">
        <w:t>s</w:t>
      </w:r>
      <w:r w:rsidR="00FB341C">
        <w:t xml:space="preserve"> and </w:t>
      </w:r>
      <w:r w:rsidRPr="00086BFD">
        <w:t>proposal:</w:t>
      </w:r>
      <w:r w:rsidRPr="00671A68">
        <w:rPr>
          <w:rFonts w:hint="eastAsia"/>
          <w:b/>
          <w:i/>
          <w:lang w:val="en-US"/>
        </w:rPr>
        <w:t xml:space="preserve"> </w:t>
      </w:r>
    </w:p>
    <w:p w:rsidR="00C70F42" w:rsidRDefault="00C70F42" w:rsidP="00C70F42">
      <w:pPr>
        <w:jc w:val="both"/>
      </w:pPr>
      <w:r>
        <w:rPr>
          <w:b/>
          <w:i/>
        </w:rPr>
        <w:t>Observation</w:t>
      </w:r>
      <w:r w:rsidRPr="006606FC">
        <w:rPr>
          <w:b/>
          <w:i/>
        </w:rPr>
        <w:t xml:space="preserve"> </w:t>
      </w:r>
      <w:r>
        <w:rPr>
          <w:b/>
          <w:i/>
        </w:rPr>
        <w:t>1</w:t>
      </w:r>
      <w:r w:rsidRPr="006606FC">
        <w:rPr>
          <w:b/>
          <w:i/>
        </w:rPr>
        <w:t>:</w:t>
      </w:r>
      <w:r>
        <w:rPr>
          <w:b/>
          <w:i/>
        </w:rPr>
        <w:t xml:space="preserve"> </w:t>
      </w:r>
      <w:r w:rsidR="002E6C5B">
        <w:rPr>
          <w:b/>
          <w:i/>
        </w:rPr>
        <w:t>25% CP is only the t</w:t>
      </w:r>
      <w:r w:rsidR="002E6C5B" w:rsidRPr="00FA7A16">
        <w:rPr>
          <w:b/>
          <w:i/>
        </w:rPr>
        <w:t>heoretical</w:t>
      </w:r>
      <w:r w:rsidR="002E6C5B">
        <w:rPr>
          <w:b/>
          <w:i/>
        </w:rPr>
        <w:t xml:space="preserve"> WOLA window length. Shorter WOLA window can be applied to alleviate the spectrum emission in the real implementation especially when the issue is less serious for large RB allocation</w:t>
      </w:r>
      <w:r>
        <w:t>.</w:t>
      </w:r>
    </w:p>
    <w:p w:rsidR="00C70F42" w:rsidRDefault="00C70F42" w:rsidP="00C70F42">
      <w:pPr>
        <w:jc w:val="both"/>
      </w:pPr>
      <w:r>
        <w:rPr>
          <w:b/>
          <w:i/>
        </w:rPr>
        <w:t>Observation</w:t>
      </w:r>
      <w:r w:rsidRPr="006606FC">
        <w:rPr>
          <w:b/>
          <w:i/>
        </w:rPr>
        <w:t xml:space="preserve"> </w:t>
      </w:r>
      <w:r w:rsidR="009D5BCF">
        <w:rPr>
          <w:b/>
          <w:i/>
        </w:rPr>
        <w:t>2</w:t>
      </w:r>
      <w:r w:rsidRPr="006606FC">
        <w:rPr>
          <w:b/>
          <w:i/>
        </w:rPr>
        <w:t>:</w:t>
      </w:r>
      <w:r>
        <w:rPr>
          <w:b/>
          <w:i/>
        </w:rPr>
        <w:t xml:space="preserve"> </w:t>
      </w:r>
      <w:r w:rsidR="009D5BCF">
        <w:rPr>
          <w:b/>
          <w:i/>
        </w:rPr>
        <w:t xml:space="preserve">Anti-multipath is a major factor that </w:t>
      </w:r>
      <w:r>
        <w:rPr>
          <w:b/>
          <w:i/>
        </w:rPr>
        <w:t xml:space="preserve">is considered for </w:t>
      </w:r>
      <w:proofErr w:type="spellStart"/>
      <w:r>
        <w:rPr>
          <w:b/>
          <w:i/>
        </w:rPr>
        <w:t>gNB</w:t>
      </w:r>
      <w:proofErr w:type="spellEnd"/>
      <w:r>
        <w:rPr>
          <w:b/>
          <w:i/>
        </w:rPr>
        <w:t xml:space="preserve"> FFT window placement.</w:t>
      </w:r>
    </w:p>
    <w:p w:rsidR="00C70F42" w:rsidRDefault="00C70F42" w:rsidP="00C70F42">
      <w:pPr>
        <w:jc w:val="both"/>
      </w:pPr>
      <w:r>
        <w:rPr>
          <w:b/>
          <w:i/>
        </w:rPr>
        <w:t>Observation</w:t>
      </w:r>
      <w:r w:rsidRPr="006606FC">
        <w:rPr>
          <w:b/>
          <w:i/>
        </w:rPr>
        <w:t xml:space="preserve"> </w:t>
      </w:r>
      <w:r w:rsidR="009D5BCF">
        <w:rPr>
          <w:b/>
          <w:i/>
        </w:rPr>
        <w:t>3</w:t>
      </w:r>
      <w:r w:rsidR="009D5BCF" w:rsidRPr="006606FC">
        <w:rPr>
          <w:b/>
          <w:i/>
        </w:rPr>
        <w:t>:</w:t>
      </w:r>
      <w:r w:rsidR="009D5BCF">
        <w:rPr>
          <w:b/>
          <w:i/>
        </w:rPr>
        <w:t xml:space="preserve"> Sync error among all access UEs is another important factor that is considered for </w:t>
      </w:r>
      <w:proofErr w:type="spellStart"/>
      <w:r w:rsidR="009D5BCF">
        <w:rPr>
          <w:b/>
          <w:i/>
        </w:rPr>
        <w:t>gNB</w:t>
      </w:r>
      <w:proofErr w:type="spellEnd"/>
      <w:r w:rsidR="009D5BCF">
        <w:rPr>
          <w:b/>
          <w:i/>
        </w:rPr>
        <w:t xml:space="preserve"> FFT window placement</w:t>
      </w:r>
      <w:r>
        <w:rPr>
          <w:b/>
          <w:i/>
        </w:rPr>
        <w:t>.</w:t>
      </w:r>
    </w:p>
    <w:p w:rsidR="00C70F42" w:rsidRDefault="00C70F42" w:rsidP="00C70F42">
      <w:pPr>
        <w:jc w:val="both"/>
        <w:rPr>
          <w:b/>
          <w:i/>
        </w:rPr>
      </w:pPr>
      <w:r>
        <w:rPr>
          <w:b/>
          <w:i/>
        </w:rPr>
        <w:t>Observation</w:t>
      </w:r>
      <w:r w:rsidRPr="006606FC">
        <w:rPr>
          <w:b/>
          <w:i/>
        </w:rPr>
        <w:t xml:space="preserve"> </w:t>
      </w:r>
      <w:r w:rsidR="009D5BCF">
        <w:rPr>
          <w:b/>
          <w:i/>
        </w:rPr>
        <w:t>4</w:t>
      </w:r>
      <w:r w:rsidRPr="006606FC">
        <w:rPr>
          <w:b/>
          <w:i/>
        </w:rPr>
        <w:t xml:space="preserve">: </w:t>
      </w:r>
      <w:r w:rsidR="0061364B">
        <w:rPr>
          <w:b/>
          <w:i/>
        </w:rPr>
        <w:t xml:space="preserve">Due to the trade-off among all possible factors, </w:t>
      </w:r>
      <w:proofErr w:type="spellStart"/>
      <w:r w:rsidR="0061364B">
        <w:rPr>
          <w:b/>
          <w:i/>
        </w:rPr>
        <w:t>gNB</w:t>
      </w:r>
      <w:proofErr w:type="spellEnd"/>
      <w:r w:rsidR="0061364B">
        <w:rPr>
          <w:b/>
          <w:i/>
        </w:rPr>
        <w:t xml:space="preserve"> solution is fixed FFT window placement rather than floating for all access UEs. </w:t>
      </w:r>
      <w:r w:rsidR="0061364B" w:rsidRPr="00DE43A3">
        <w:rPr>
          <w:b/>
          <w:i/>
        </w:rPr>
        <w:t xml:space="preserve">UE implementation should be adaptable </w:t>
      </w:r>
      <w:r w:rsidR="0061364B">
        <w:rPr>
          <w:b/>
          <w:i/>
        </w:rPr>
        <w:t>to</w:t>
      </w:r>
      <w:r w:rsidR="0061364B" w:rsidRPr="00DE43A3">
        <w:rPr>
          <w:b/>
          <w:i/>
        </w:rPr>
        <w:t xml:space="preserve"> </w:t>
      </w:r>
      <w:proofErr w:type="spellStart"/>
      <w:r w:rsidR="0061364B" w:rsidRPr="00DE43A3">
        <w:rPr>
          <w:b/>
          <w:i/>
        </w:rPr>
        <w:t>gNB</w:t>
      </w:r>
      <w:proofErr w:type="spellEnd"/>
      <w:r w:rsidR="0061364B">
        <w:rPr>
          <w:b/>
          <w:i/>
        </w:rPr>
        <w:t xml:space="preserve"> </w:t>
      </w:r>
      <w:r w:rsidR="0061364B" w:rsidRPr="00DE43A3">
        <w:rPr>
          <w:b/>
          <w:i/>
        </w:rPr>
        <w:t>for better UL performance</w:t>
      </w:r>
      <w:r>
        <w:rPr>
          <w:b/>
          <w:i/>
        </w:rPr>
        <w:t xml:space="preserve">.    </w:t>
      </w:r>
    </w:p>
    <w:p w:rsidR="00C70F42" w:rsidRDefault="00C70F42" w:rsidP="00101B99">
      <w:pPr>
        <w:jc w:val="both"/>
        <w:rPr>
          <w:b/>
          <w:i/>
        </w:rPr>
      </w:pPr>
      <w:r>
        <w:rPr>
          <w:b/>
          <w:i/>
        </w:rPr>
        <w:t>Observation</w:t>
      </w:r>
      <w:r w:rsidRPr="006606FC">
        <w:rPr>
          <w:b/>
          <w:i/>
        </w:rPr>
        <w:t xml:space="preserve"> </w:t>
      </w:r>
      <w:r w:rsidR="009D5BCF">
        <w:rPr>
          <w:b/>
          <w:i/>
        </w:rPr>
        <w:t>5</w:t>
      </w:r>
      <w:r w:rsidRPr="006606FC">
        <w:rPr>
          <w:b/>
          <w:i/>
        </w:rPr>
        <w:t xml:space="preserve">: </w:t>
      </w:r>
      <w:r>
        <w:rPr>
          <w:b/>
          <w:i/>
        </w:rPr>
        <w:t xml:space="preserve">The transient period capabilities’ test design, e.g., the asymmetric transient period position, currently captured in TS 38.101-1 has already considered for both UE testability/implementation and </w:t>
      </w:r>
      <w:proofErr w:type="spellStart"/>
      <w:r>
        <w:rPr>
          <w:b/>
          <w:i/>
        </w:rPr>
        <w:t>gNB</w:t>
      </w:r>
      <w:proofErr w:type="spellEnd"/>
      <w:r>
        <w:rPr>
          <w:b/>
          <w:i/>
        </w:rPr>
        <w:t xml:space="preserve"> demodulation implementation.</w:t>
      </w:r>
    </w:p>
    <w:p w:rsidR="00C70F42" w:rsidRDefault="00C70F42" w:rsidP="00C70F42">
      <w:pPr>
        <w:jc w:val="both"/>
      </w:pPr>
      <w:r>
        <w:rPr>
          <w:b/>
          <w:i/>
        </w:rPr>
        <w:t>Proposal 1</w:t>
      </w:r>
      <w:r w:rsidRPr="006606FC">
        <w:rPr>
          <w:b/>
          <w:i/>
        </w:rPr>
        <w:t>:</w:t>
      </w:r>
      <w:r>
        <w:rPr>
          <w:b/>
          <w:i/>
        </w:rPr>
        <w:t xml:space="preserve"> WOLA window length assumption needs to be clarified for the measurements in R4-</w:t>
      </w:r>
      <w:r w:rsidRPr="007B7ADB">
        <w:rPr>
          <w:b/>
          <w:i/>
        </w:rPr>
        <w:t>2111539</w:t>
      </w:r>
      <w:r>
        <w:t>.</w:t>
      </w:r>
    </w:p>
    <w:p w:rsidR="00C70F42" w:rsidRDefault="00C70F42" w:rsidP="00C70F42">
      <w:pPr>
        <w:jc w:val="both"/>
        <w:rPr>
          <w:b/>
          <w:i/>
        </w:rPr>
      </w:pPr>
      <w:r>
        <w:rPr>
          <w:b/>
          <w:i/>
        </w:rPr>
        <w:t>Proposal 2</w:t>
      </w:r>
      <w:r w:rsidRPr="006606FC">
        <w:rPr>
          <w:b/>
          <w:i/>
        </w:rPr>
        <w:t xml:space="preserve">: </w:t>
      </w:r>
      <w:r w:rsidR="0043508E">
        <w:rPr>
          <w:b/>
          <w:i/>
        </w:rPr>
        <w:t xml:space="preserve">Remove all the bracket for shorter transient period requirements, including </w:t>
      </w:r>
      <w:proofErr w:type="spellStart"/>
      <w:r w:rsidR="0043508E">
        <w:rPr>
          <w:b/>
          <w:i/>
        </w:rPr>
        <w:t>tpstart</w:t>
      </w:r>
      <w:proofErr w:type="spellEnd"/>
      <w:r w:rsidR="0043508E">
        <w:rPr>
          <w:b/>
          <w:i/>
        </w:rPr>
        <w:t xml:space="preserve"> value for each </w:t>
      </w:r>
      <w:proofErr w:type="spellStart"/>
      <w:r w:rsidR="0043508E">
        <w:rPr>
          <w:b/>
          <w:i/>
        </w:rPr>
        <w:t>Tp</w:t>
      </w:r>
      <w:proofErr w:type="spellEnd"/>
      <w:r w:rsidR="0043508E">
        <w:rPr>
          <w:b/>
          <w:i/>
        </w:rPr>
        <w:t xml:space="preserve"> and relaxed EVM requirements</w:t>
      </w:r>
      <w:r>
        <w:rPr>
          <w:b/>
          <w:i/>
        </w:rPr>
        <w:t>.</w:t>
      </w:r>
    </w:p>
    <w:p w:rsidR="00101B99" w:rsidRDefault="00101B99" w:rsidP="00AB1467">
      <w:pPr>
        <w:spacing w:beforeLines="50" w:before="120"/>
        <w:jc w:val="both"/>
        <w:rPr>
          <w:b/>
          <w:i/>
        </w:rPr>
      </w:pPr>
    </w:p>
    <w:p w:rsidR="00B22DA6" w:rsidRDefault="00B22DA6" w:rsidP="00B22DA6">
      <w:pPr>
        <w:pStyle w:val="1"/>
        <w:numPr>
          <w:ilvl w:val="0"/>
          <w:numId w:val="0"/>
        </w:numPr>
        <w:rPr>
          <w:rFonts w:eastAsia="宋体"/>
          <w:lang w:eastAsia="zh-CN"/>
        </w:rPr>
      </w:pPr>
      <w:r>
        <w:t>References</w:t>
      </w:r>
    </w:p>
    <w:p w:rsidR="00B84821" w:rsidRDefault="00B84821" w:rsidP="00DC513D">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R4-2</w:t>
      </w:r>
      <w:r w:rsidR="008A00C1">
        <w:rPr>
          <w:lang w:val="it-IT" w:eastAsia="ja-JP"/>
        </w:rPr>
        <w:t>119841</w:t>
      </w:r>
      <w:r>
        <w:rPr>
          <w:lang w:val="it-IT" w:eastAsia="ja-JP"/>
        </w:rPr>
        <w:t>, “</w:t>
      </w:r>
      <w:r w:rsidR="008A00C1">
        <w:rPr>
          <w:lang w:val="it-IT" w:eastAsia="ja-JP"/>
        </w:rPr>
        <w:t>WF on Transient Period Capability</w:t>
      </w:r>
      <w:r>
        <w:rPr>
          <w:lang w:val="it-IT" w:eastAsia="ja-JP"/>
        </w:rPr>
        <w:t xml:space="preserve">”, </w:t>
      </w:r>
      <w:r w:rsidR="008A00C1">
        <w:rPr>
          <w:lang w:val="it-IT" w:eastAsia="ja-JP"/>
        </w:rPr>
        <w:t>Qualcomm, Skyworks</w:t>
      </w:r>
      <w:r w:rsidR="0006142F">
        <w:rPr>
          <w:lang w:val="it-IT"/>
        </w:rPr>
        <w:t xml:space="preserve">, RAN4 </w:t>
      </w:r>
      <w:r>
        <w:rPr>
          <w:lang w:val="it-IT"/>
        </w:rPr>
        <w:t>#101</w:t>
      </w:r>
      <w:r w:rsidRPr="00C949E8">
        <w:rPr>
          <w:lang w:val="it-IT"/>
        </w:rPr>
        <w:t xml:space="preserve">-e, Electronic meeting, </w:t>
      </w:r>
      <w:r w:rsidR="008A00C1">
        <w:rPr>
          <w:lang w:val="it-IT"/>
        </w:rPr>
        <w:t>November</w:t>
      </w:r>
      <w:r>
        <w:rPr>
          <w:lang w:val="it-IT"/>
        </w:rPr>
        <w:t xml:space="preserve"> 1</w:t>
      </w:r>
      <w:r w:rsidR="00EF42A0">
        <w:rPr>
          <w:lang w:val="it-IT"/>
        </w:rPr>
        <w:t xml:space="preserve"> – </w:t>
      </w:r>
      <w:r w:rsidR="008A00C1">
        <w:rPr>
          <w:lang w:val="it-IT"/>
        </w:rPr>
        <w:t>1</w:t>
      </w:r>
      <w:r>
        <w:rPr>
          <w:lang w:val="it-IT"/>
        </w:rPr>
        <w:t>2</w:t>
      </w:r>
      <w:r w:rsidR="008A00C1">
        <w:rPr>
          <w:lang w:val="it-IT"/>
        </w:rPr>
        <w:t>, 2021</w:t>
      </w:r>
      <w:r>
        <w:rPr>
          <w:lang w:val="it-IT"/>
        </w:rPr>
        <w:t>.</w:t>
      </w:r>
    </w:p>
    <w:p w:rsidR="0076139B" w:rsidRDefault="0076139B" w:rsidP="00493430">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R4-2111539, “Transient Period Capability Measurements”, Skyworks</w:t>
      </w:r>
      <w:r>
        <w:rPr>
          <w:lang w:val="it-IT"/>
        </w:rPr>
        <w:t>, RAN4 #99</w:t>
      </w:r>
      <w:r w:rsidRPr="00C949E8">
        <w:rPr>
          <w:lang w:val="it-IT"/>
        </w:rPr>
        <w:t xml:space="preserve">-e, Electronic meeting, </w:t>
      </w:r>
      <w:r>
        <w:rPr>
          <w:lang w:val="it-IT"/>
        </w:rPr>
        <w:t>May 19</w:t>
      </w:r>
      <w:r w:rsidR="00EF42A0">
        <w:rPr>
          <w:lang w:val="it-IT"/>
        </w:rPr>
        <w:t xml:space="preserve"> – </w:t>
      </w:r>
      <w:r>
        <w:rPr>
          <w:lang w:val="it-IT"/>
        </w:rPr>
        <w:t>27, 2021.</w:t>
      </w:r>
    </w:p>
    <w:p w:rsidR="00AB1467" w:rsidRPr="00493430" w:rsidRDefault="00A33CEA" w:rsidP="00493430">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R4-2102629, “On transient period UE capability RF requirement”, Huawei, Hisilicon</w:t>
      </w:r>
      <w:r>
        <w:rPr>
          <w:lang w:val="it-IT"/>
        </w:rPr>
        <w:t>, RAN4 #98</w:t>
      </w:r>
      <w:r w:rsidRPr="00C949E8">
        <w:rPr>
          <w:lang w:val="it-IT"/>
        </w:rPr>
        <w:t xml:space="preserve">-e, Electronic meeting, </w:t>
      </w:r>
      <w:r>
        <w:rPr>
          <w:lang w:val="it-IT"/>
        </w:rPr>
        <w:t>January 25 – Febr</w:t>
      </w:r>
      <w:r w:rsidR="007D56C6">
        <w:rPr>
          <w:lang w:val="it-IT"/>
        </w:rPr>
        <w:t>u</w:t>
      </w:r>
      <w:r>
        <w:rPr>
          <w:lang w:val="it-IT"/>
        </w:rPr>
        <w:t>ary 5, 2021.</w:t>
      </w:r>
    </w:p>
    <w:sectPr w:rsidR="00AB1467" w:rsidRPr="00493430"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B40" w:rsidRDefault="00965B40" w:rsidP="0052762B">
      <w:r>
        <w:separator/>
      </w:r>
    </w:p>
  </w:endnote>
  <w:endnote w:type="continuationSeparator" w:id="0">
    <w:p w:rsidR="00965B40" w:rsidRDefault="00965B4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B40" w:rsidRDefault="00965B40" w:rsidP="0052762B">
      <w:r>
        <w:separator/>
      </w:r>
    </w:p>
  </w:footnote>
  <w:footnote w:type="continuationSeparator" w:id="0">
    <w:p w:rsidR="00965B40" w:rsidRDefault="00965B40"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8367FD"/>
    <w:multiLevelType w:val="hybridMultilevel"/>
    <w:tmpl w:val="D3B8B4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123282"/>
    <w:multiLevelType w:val="hybridMultilevel"/>
    <w:tmpl w:val="CD48DE18"/>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40A89"/>
    <w:multiLevelType w:val="hybridMultilevel"/>
    <w:tmpl w:val="729AE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51113"/>
    <w:multiLevelType w:val="hybridMultilevel"/>
    <w:tmpl w:val="9BFC9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7129A9"/>
    <w:multiLevelType w:val="hybridMultilevel"/>
    <w:tmpl w:val="CF625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2"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115A13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1004"/>
        </w:tabs>
        <w:ind w:left="100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492A1A7D"/>
    <w:multiLevelType w:val="hybridMultilevel"/>
    <w:tmpl w:val="D7EE7E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CE2E7F"/>
    <w:multiLevelType w:val="multilevel"/>
    <w:tmpl w:val="54CE2E7F"/>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6"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2" w15:restartNumberingAfterBreak="0">
    <w:nsid w:val="7E2407A1"/>
    <w:multiLevelType w:val="singleLevel"/>
    <w:tmpl w:val="7E2407A1"/>
    <w:lvl w:ilvl="0">
      <w:start w:val="1"/>
      <w:numFmt w:val="decimal"/>
      <w:lvlText w:val="[%1]"/>
      <w:lvlJc w:val="left"/>
      <w:pPr>
        <w:tabs>
          <w:tab w:val="left" w:pos="360"/>
        </w:tabs>
        <w:ind w:left="360" w:hanging="36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0"/>
  </w:num>
  <w:num w:numId="3">
    <w:abstractNumId w:val="24"/>
  </w:num>
  <w:num w:numId="4">
    <w:abstractNumId w:val="39"/>
  </w:num>
  <w:num w:numId="5">
    <w:abstractNumId w:val="38"/>
  </w:num>
  <w:num w:numId="6">
    <w:abstractNumId w:val="17"/>
  </w:num>
  <w:num w:numId="7">
    <w:abstractNumId w:val="29"/>
  </w:num>
  <w:num w:numId="8">
    <w:abstractNumId w:val="43"/>
  </w:num>
  <w:num w:numId="9">
    <w:abstractNumId w:val="13"/>
  </w:num>
  <w:num w:numId="10">
    <w:abstractNumId w:val="1"/>
  </w:num>
  <w:num w:numId="11">
    <w:abstractNumId w:val="26"/>
  </w:num>
  <w:num w:numId="12">
    <w:abstractNumId w:val="35"/>
  </w:num>
  <w:num w:numId="13">
    <w:abstractNumId w:val="22"/>
  </w:num>
  <w:num w:numId="14">
    <w:abstractNumId w:val="36"/>
  </w:num>
  <w:num w:numId="15">
    <w:abstractNumId w:val="15"/>
  </w:num>
  <w:num w:numId="16">
    <w:abstractNumId w:val="19"/>
  </w:num>
  <w:num w:numId="17">
    <w:abstractNumId w:val="16"/>
  </w:num>
  <w:num w:numId="18">
    <w:abstractNumId w:val="41"/>
  </w:num>
  <w:num w:numId="19">
    <w:abstractNumId w:val="21"/>
  </w:num>
  <w:num w:numId="20">
    <w:abstractNumId w:val="40"/>
  </w:num>
  <w:num w:numId="21">
    <w:abstractNumId w:val="33"/>
  </w:num>
  <w:num w:numId="22">
    <w:abstractNumId w:val="18"/>
  </w:num>
  <w:num w:numId="23">
    <w:abstractNumId w:val="11"/>
  </w:num>
  <w:num w:numId="24">
    <w:abstractNumId w:val="9"/>
  </w:num>
  <w:num w:numId="25">
    <w:abstractNumId w:val="37"/>
  </w:num>
  <w:num w:numId="26">
    <w:abstractNumId w:val="4"/>
  </w:num>
  <w:num w:numId="27">
    <w:abstractNumId w:val="42"/>
  </w:num>
  <w:num w:numId="28">
    <w:abstractNumId w:val="34"/>
  </w:num>
  <w:num w:numId="29">
    <w:abstractNumId w:val="14"/>
  </w:num>
  <w:num w:numId="30">
    <w:abstractNumId w:val="30"/>
  </w:num>
  <w:num w:numId="31">
    <w:abstractNumId w:val="32"/>
  </w:num>
  <w:num w:numId="32">
    <w:abstractNumId w:val="7"/>
  </w:num>
  <w:num w:numId="33">
    <w:abstractNumId w:val="12"/>
  </w:num>
  <w:num w:numId="34">
    <w:abstractNumId w:val="31"/>
  </w:num>
  <w:num w:numId="35">
    <w:abstractNumId w:val="3"/>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8"/>
  </w:num>
  <w:num w:numId="38">
    <w:abstractNumId w:val="5"/>
  </w:num>
  <w:num w:numId="39">
    <w:abstractNumId w:val="6"/>
  </w:num>
  <w:num w:numId="40">
    <w:abstractNumId w:val="23"/>
  </w:num>
  <w:num w:numId="41">
    <w:abstractNumId w:val="25"/>
  </w:num>
  <w:num w:numId="42">
    <w:abstractNumId w:val="2"/>
  </w:num>
  <w:num w:numId="43">
    <w:abstractNumId w:val="10"/>
  </w:num>
  <w:num w:numId="44">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306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9B"/>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5F8"/>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BC8"/>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A48"/>
    <w:rsid w:val="00285573"/>
    <w:rsid w:val="00286207"/>
    <w:rsid w:val="00286371"/>
    <w:rsid w:val="002863D5"/>
    <w:rsid w:val="00286658"/>
    <w:rsid w:val="0028694F"/>
    <w:rsid w:val="00286ED4"/>
    <w:rsid w:val="00286F8B"/>
    <w:rsid w:val="002874DE"/>
    <w:rsid w:val="002907F6"/>
    <w:rsid w:val="0029089D"/>
    <w:rsid w:val="002913B8"/>
    <w:rsid w:val="002913F5"/>
    <w:rsid w:val="002915B7"/>
    <w:rsid w:val="002917B5"/>
    <w:rsid w:val="00291E51"/>
    <w:rsid w:val="00292089"/>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2FA"/>
    <w:rsid w:val="002B1F8F"/>
    <w:rsid w:val="002B1FF1"/>
    <w:rsid w:val="002B1FF9"/>
    <w:rsid w:val="002B2455"/>
    <w:rsid w:val="002B2516"/>
    <w:rsid w:val="002B2E25"/>
    <w:rsid w:val="002B45AA"/>
    <w:rsid w:val="002B5B27"/>
    <w:rsid w:val="002B6135"/>
    <w:rsid w:val="002B63D1"/>
    <w:rsid w:val="002B6BCD"/>
    <w:rsid w:val="002B6C05"/>
    <w:rsid w:val="002B6DFD"/>
    <w:rsid w:val="002B6FAF"/>
    <w:rsid w:val="002B768E"/>
    <w:rsid w:val="002B7B57"/>
    <w:rsid w:val="002C01E3"/>
    <w:rsid w:val="002C0617"/>
    <w:rsid w:val="002C061F"/>
    <w:rsid w:val="002C0FBE"/>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5B"/>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F02"/>
    <w:rsid w:val="003164E5"/>
    <w:rsid w:val="00316E2C"/>
    <w:rsid w:val="003170E8"/>
    <w:rsid w:val="003175C8"/>
    <w:rsid w:val="003176E4"/>
    <w:rsid w:val="00317D5B"/>
    <w:rsid w:val="0032059F"/>
    <w:rsid w:val="00320B8D"/>
    <w:rsid w:val="00320D8F"/>
    <w:rsid w:val="00321705"/>
    <w:rsid w:val="003219DB"/>
    <w:rsid w:val="00321B37"/>
    <w:rsid w:val="00321CD0"/>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C0F"/>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5E62"/>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0A08"/>
    <w:rsid w:val="0043156E"/>
    <w:rsid w:val="0043185D"/>
    <w:rsid w:val="004319F6"/>
    <w:rsid w:val="00431BEF"/>
    <w:rsid w:val="00431E59"/>
    <w:rsid w:val="00432212"/>
    <w:rsid w:val="00432409"/>
    <w:rsid w:val="00432A6B"/>
    <w:rsid w:val="00433E48"/>
    <w:rsid w:val="00434570"/>
    <w:rsid w:val="00434855"/>
    <w:rsid w:val="0043508E"/>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5E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C89"/>
    <w:rsid w:val="00490FAB"/>
    <w:rsid w:val="0049171C"/>
    <w:rsid w:val="00491C2E"/>
    <w:rsid w:val="00491C84"/>
    <w:rsid w:val="00492404"/>
    <w:rsid w:val="00492B50"/>
    <w:rsid w:val="004930CB"/>
    <w:rsid w:val="00493430"/>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9DF"/>
    <w:rsid w:val="004C1B00"/>
    <w:rsid w:val="004C219A"/>
    <w:rsid w:val="004C3AD6"/>
    <w:rsid w:val="004C4227"/>
    <w:rsid w:val="004C4B1D"/>
    <w:rsid w:val="004C53D8"/>
    <w:rsid w:val="004C5872"/>
    <w:rsid w:val="004C66F1"/>
    <w:rsid w:val="004C6C5C"/>
    <w:rsid w:val="004C7412"/>
    <w:rsid w:val="004C7937"/>
    <w:rsid w:val="004C7DBF"/>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43C7"/>
    <w:rsid w:val="00524720"/>
    <w:rsid w:val="005256B0"/>
    <w:rsid w:val="00525BF0"/>
    <w:rsid w:val="00525C2F"/>
    <w:rsid w:val="0052632B"/>
    <w:rsid w:val="00526671"/>
    <w:rsid w:val="00526760"/>
    <w:rsid w:val="00526855"/>
    <w:rsid w:val="0052762B"/>
    <w:rsid w:val="00530694"/>
    <w:rsid w:val="00530791"/>
    <w:rsid w:val="00531682"/>
    <w:rsid w:val="005316A6"/>
    <w:rsid w:val="005316F1"/>
    <w:rsid w:val="00531842"/>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0F2D"/>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9F5"/>
    <w:rsid w:val="00575F1E"/>
    <w:rsid w:val="005761F2"/>
    <w:rsid w:val="00576A85"/>
    <w:rsid w:val="00577557"/>
    <w:rsid w:val="0057763B"/>
    <w:rsid w:val="005779C1"/>
    <w:rsid w:val="00577D10"/>
    <w:rsid w:val="0058033C"/>
    <w:rsid w:val="00580EA0"/>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9C4"/>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433"/>
    <w:rsid w:val="005B46B2"/>
    <w:rsid w:val="005B4DEC"/>
    <w:rsid w:val="005B622A"/>
    <w:rsid w:val="005B65B2"/>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BF"/>
    <w:rsid w:val="005C25A5"/>
    <w:rsid w:val="005C319B"/>
    <w:rsid w:val="005C3EE4"/>
    <w:rsid w:val="005C46CC"/>
    <w:rsid w:val="005C4881"/>
    <w:rsid w:val="005C49A5"/>
    <w:rsid w:val="005C4B21"/>
    <w:rsid w:val="005C5490"/>
    <w:rsid w:val="005C571B"/>
    <w:rsid w:val="005C5B0B"/>
    <w:rsid w:val="005C5B5A"/>
    <w:rsid w:val="005C6467"/>
    <w:rsid w:val="005C66F0"/>
    <w:rsid w:val="005C674F"/>
    <w:rsid w:val="005C6A88"/>
    <w:rsid w:val="005C6B9F"/>
    <w:rsid w:val="005C6D46"/>
    <w:rsid w:val="005C7096"/>
    <w:rsid w:val="005C7286"/>
    <w:rsid w:val="005C7699"/>
    <w:rsid w:val="005C7DF1"/>
    <w:rsid w:val="005C7F18"/>
    <w:rsid w:val="005D01DA"/>
    <w:rsid w:val="005D0696"/>
    <w:rsid w:val="005D0891"/>
    <w:rsid w:val="005D124A"/>
    <w:rsid w:val="005D1275"/>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64B"/>
    <w:rsid w:val="00613D72"/>
    <w:rsid w:val="0061406F"/>
    <w:rsid w:val="0061448A"/>
    <w:rsid w:val="00614862"/>
    <w:rsid w:val="0061502F"/>
    <w:rsid w:val="0061557A"/>
    <w:rsid w:val="0061574F"/>
    <w:rsid w:val="006159E4"/>
    <w:rsid w:val="00616E37"/>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7EC"/>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0F03"/>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90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19E9"/>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2B2"/>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646"/>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DCC"/>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1AE"/>
    <w:rsid w:val="0076139B"/>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941"/>
    <w:rsid w:val="007B27C2"/>
    <w:rsid w:val="007B2FBF"/>
    <w:rsid w:val="007B34A4"/>
    <w:rsid w:val="007B3C0B"/>
    <w:rsid w:val="007B3E3C"/>
    <w:rsid w:val="007B3E89"/>
    <w:rsid w:val="007B692F"/>
    <w:rsid w:val="007B74A3"/>
    <w:rsid w:val="007B75FE"/>
    <w:rsid w:val="007B7688"/>
    <w:rsid w:val="007B7756"/>
    <w:rsid w:val="007B7A34"/>
    <w:rsid w:val="007B7ADB"/>
    <w:rsid w:val="007C06DB"/>
    <w:rsid w:val="007C103D"/>
    <w:rsid w:val="007C1079"/>
    <w:rsid w:val="007C14EE"/>
    <w:rsid w:val="007C1537"/>
    <w:rsid w:val="007C2BFC"/>
    <w:rsid w:val="007C2D23"/>
    <w:rsid w:val="007C2FEB"/>
    <w:rsid w:val="007C3E71"/>
    <w:rsid w:val="007C3F09"/>
    <w:rsid w:val="007C44A3"/>
    <w:rsid w:val="007C5299"/>
    <w:rsid w:val="007C53D3"/>
    <w:rsid w:val="007C5652"/>
    <w:rsid w:val="007C5A0D"/>
    <w:rsid w:val="007C5C32"/>
    <w:rsid w:val="007C5CF0"/>
    <w:rsid w:val="007C61DB"/>
    <w:rsid w:val="007C6201"/>
    <w:rsid w:val="007C7CF6"/>
    <w:rsid w:val="007D011A"/>
    <w:rsid w:val="007D0422"/>
    <w:rsid w:val="007D118A"/>
    <w:rsid w:val="007D20FC"/>
    <w:rsid w:val="007D2205"/>
    <w:rsid w:val="007D26C1"/>
    <w:rsid w:val="007D2D68"/>
    <w:rsid w:val="007D2E32"/>
    <w:rsid w:val="007D3207"/>
    <w:rsid w:val="007D3CFF"/>
    <w:rsid w:val="007D42F7"/>
    <w:rsid w:val="007D43FC"/>
    <w:rsid w:val="007D55A4"/>
    <w:rsid w:val="007D56C6"/>
    <w:rsid w:val="007D57C7"/>
    <w:rsid w:val="007D5AA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A2B"/>
    <w:rsid w:val="007F0BBF"/>
    <w:rsid w:val="007F0C3A"/>
    <w:rsid w:val="007F1254"/>
    <w:rsid w:val="007F13E2"/>
    <w:rsid w:val="007F146B"/>
    <w:rsid w:val="007F1720"/>
    <w:rsid w:val="007F1B05"/>
    <w:rsid w:val="007F2428"/>
    <w:rsid w:val="007F2CE5"/>
    <w:rsid w:val="007F2EB7"/>
    <w:rsid w:val="007F31A0"/>
    <w:rsid w:val="007F3343"/>
    <w:rsid w:val="007F39E0"/>
    <w:rsid w:val="007F4304"/>
    <w:rsid w:val="007F43AF"/>
    <w:rsid w:val="007F4B9F"/>
    <w:rsid w:val="007F5C28"/>
    <w:rsid w:val="007F6371"/>
    <w:rsid w:val="007F6EB2"/>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C9"/>
    <w:rsid w:val="008258E0"/>
    <w:rsid w:val="00825CF6"/>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0C1"/>
    <w:rsid w:val="008A03B6"/>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17"/>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9C0"/>
    <w:rsid w:val="008D2E57"/>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1CFC"/>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4DD"/>
    <w:rsid w:val="00910625"/>
    <w:rsid w:val="00910695"/>
    <w:rsid w:val="0091110C"/>
    <w:rsid w:val="009112E8"/>
    <w:rsid w:val="00911A11"/>
    <w:rsid w:val="00911C40"/>
    <w:rsid w:val="00912307"/>
    <w:rsid w:val="00912326"/>
    <w:rsid w:val="0091369A"/>
    <w:rsid w:val="00913BC7"/>
    <w:rsid w:val="009145CC"/>
    <w:rsid w:val="0091462B"/>
    <w:rsid w:val="009146C0"/>
    <w:rsid w:val="00915129"/>
    <w:rsid w:val="0091598F"/>
    <w:rsid w:val="00915D60"/>
    <w:rsid w:val="00915F00"/>
    <w:rsid w:val="00916ED9"/>
    <w:rsid w:val="00917376"/>
    <w:rsid w:val="0091764F"/>
    <w:rsid w:val="00917A49"/>
    <w:rsid w:val="00917CA6"/>
    <w:rsid w:val="00920014"/>
    <w:rsid w:val="0092144F"/>
    <w:rsid w:val="00921DE6"/>
    <w:rsid w:val="009231BB"/>
    <w:rsid w:val="0092342A"/>
    <w:rsid w:val="009234A6"/>
    <w:rsid w:val="00923D36"/>
    <w:rsid w:val="00924145"/>
    <w:rsid w:val="00925225"/>
    <w:rsid w:val="009256C5"/>
    <w:rsid w:val="00925E77"/>
    <w:rsid w:val="0092635A"/>
    <w:rsid w:val="00926A10"/>
    <w:rsid w:val="009271B9"/>
    <w:rsid w:val="009279BA"/>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B40"/>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E59"/>
    <w:rsid w:val="009816BB"/>
    <w:rsid w:val="009824C3"/>
    <w:rsid w:val="00982D33"/>
    <w:rsid w:val="00983129"/>
    <w:rsid w:val="009831C4"/>
    <w:rsid w:val="009838BE"/>
    <w:rsid w:val="00983CB4"/>
    <w:rsid w:val="009845C3"/>
    <w:rsid w:val="009848B8"/>
    <w:rsid w:val="00984B50"/>
    <w:rsid w:val="00984CCD"/>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03E"/>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BCF"/>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40D"/>
    <w:rsid w:val="009F0CB4"/>
    <w:rsid w:val="009F140E"/>
    <w:rsid w:val="009F2381"/>
    <w:rsid w:val="009F2759"/>
    <w:rsid w:val="009F2B99"/>
    <w:rsid w:val="009F3042"/>
    <w:rsid w:val="009F313C"/>
    <w:rsid w:val="009F3D24"/>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17D3D"/>
    <w:rsid w:val="00A20760"/>
    <w:rsid w:val="00A215E8"/>
    <w:rsid w:val="00A217FC"/>
    <w:rsid w:val="00A21BAE"/>
    <w:rsid w:val="00A22726"/>
    <w:rsid w:val="00A22A4B"/>
    <w:rsid w:val="00A22A97"/>
    <w:rsid w:val="00A235F9"/>
    <w:rsid w:val="00A23FE7"/>
    <w:rsid w:val="00A241D9"/>
    <w:rsid w:val="00A243F7"/>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CEA"/>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9AC"/>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750"/>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509"/>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34C"/>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34"/>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5C"/>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807"/>
    <w:rsid w:val="00B861D9"/>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6784"/>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38A"/>
    <w:rsid w:val="00BE277C"/>
    <w:rsid w:val="00BE3093"/>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6C6"/>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BAE"/>
    <w:rsid w:val="00C42FD8"/>
    <w:rsid w:val="00C437F1"/>
    <w:rsid w:val="00C43D1B"/>
    <w:rsid w:val="00C44D3D"/>
    <w:rsid w:val="00C45A95"/>
    <w:rsid w:val="00C46D24"/>
    <w:rsid w:val="00C47AB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403"/>
    <w:rsid w:val="00C55906"/>
    <w:rsid w:val="00C55CAF"/>
    <w:rsid w:val="00C56455"/>
    <w:rsid w:val="00C568A3"/>
    <w:rsid w:val="00C57060"/>
    <w:rsid w:val="00C5752B"/>
    <w:rsid w:val="00C57573"/>
    <w:rsid w:val="00C57574"/>
    <w:rsid w:val="00C57E7B"/>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42"/>
    <w:rsid w:val="00C70FAD"/>
    <w:rsid w:val="00C7131E"/>
    <w:rsid w:val="00C71626"/>
    <w:rsid w:val="00C72986"/>
    <w:rsid w:val="00C739CA"/>
    <w:rsid w:val="00C740C4"/>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E08"/>
    <w:rsid w:val="00CB116F"/>
    <w:rsid w:val="00CB1902"/>
    <w:rsid w:val="00CB1F9F"/>
    <w:rsid w:val="00CB2650"/>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D79"/>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342"/>
    <w:rsid w:val="00D35ECF"/>
    <w:rsid w:val="00D35EF1"/>
    <w:rsid w:val="00D36495"/>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AAB"/>
    <w:rsid w:val="00D610C6"/>
    <w:rsid w:val="00D61428"/>
    <w:rsid w:val="00D61673"/>
    <w:rsid w:val="00D617EB"/>
    <w:rsid w:val="00D61DCC"/>
    <w:rsid w:val="00D628A0"/>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5F1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3A3"/>
    <w:rsid w:val="00DE445D"/>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4AE4"/>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B3F"/>
    <w:rsid w:val="00E645F9"/>
    <w:rsid w:val="00E64F5A"/>
    <w:rsid w:val="00E6548A"/>
    <w:rsid w:val="00E65F5B"/>
    <w:rsid w:val="00E66DB7"/>
    <w:rsid w:val="00E66F50"/>
    <w:rsid w:val="00E674B6"/>
    <w:rsid w:val="00E67AAF"/>
    <w:rsid w:val="00E67C87"/>
    <w:rsid w:val="00E7135A"/>
    <w:rsid w:val="00E71647"/>
    <w:rsid w:val="00E71995"/>
    <w:rsid w:val="00E72157"/>
    <w:rsid w:val="00E72324"/>
    <w:rsid w:val="00E72363"/>
    <w:rsid w:val="00E72575"/>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DA"/>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01D"/>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F7A"/>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F8C"/>
    <w:rsid w:val="00ED5CC0"/>
    <w:rsid w:val="00ED5D50"/>
    <w:rsid w:val="00ED6BC8"/>
    <w:rsid w:val="00ED707F"/>
    <w:rsid w:val="00ED7759"/>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42C"/>
    <w:rsid w:val="00EF39FA"/>
    <w:rsid w:val="00EF3E46"/>
    <w:rsid w:val="00EF40D6"/>
    <w:rsid w:val="00EF42A0"/>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1F6"/>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279"/>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7C6"/>
    <w:rsid w:val="00F71A33"/>
    <w:rsid w:val="00F71B15"/>
    <w:rsid w:val="00F7246A"/>
    <w:rsid w:val="00F72D9D"/>
    <w:rsid w:val="00F72ED2"/>
    <w:rsid w:val="00F73BAB"/>
    <w:rsid w:val="00F73C50"/>
    <w:rsid w:val="00F7579F"/>
    <w:rsid w:val="00F75AEE"/>
    <w:rsid w:val="00F76682"/>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4BE"/>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A16"/>
    <w:rsid w:val="00FA7E4E"/>
    <w:rsid w:val="00FB05A4"/>
    <w:rsid w:val="00FB066E"/>
    <w:rsid w:val="00FB0E0B"/>
    <w:rsid w:val="00FB1435"/>
    <w:rsid w:val="00FB1EF7"/>
    <w:rsid w:val="00FB2358"/>
    <w:rsid w:val="00FB341C"/>
    <w:rsid w:val="00FB3A2B"/>
    <w:rsid w:val="00FB3B97"/>
    <w:rsid w:val="00FB3C3D"/>
    <w:rsid w:val="00FB3F04"/>
    <w:rsid w:val="00FB531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E78"/>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568"/>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CDC03-403C-40D8-B432-27BCD57AB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1463</Words>
  <Characters>7675</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9120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cp:revision>
  <cp:lastPrinted>2010-01-07T02:23:00Z</cp:lastPrinted>
  <dcterms:created xsi:type="dcterms:W3CDTF">2022-02-14T12:03:00Z</dcterms:created>
  <dcterms:modified xsi:type="dcterms:W3CDTF">2022-02-14T12:03:00Z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(3)gCG1kuyjce70YSWIqL2zkJ5FygdeoasIxTf80GjGYB3lLwiqNNBPaMDDx1+bD5l5Pg3yPg2z
inSvB47FQ3q8e6TueA9igrxVd7Z7wCYf+t+bPevI9XTIc82G+pmHWIwSSBohiHx3Aa7xmy/H
yrmt95QjySmb5R1dseBWvnAT0Ds1W37n8ErvoxRyB6KlwYIHGN1nfa0wA8HlZfdwaB+OzV3v
L/8jtOYNhqvzb/WnrS</vt:lpwstr>
  </property>
  <property fmtid="{D5CDD505-2E9C-101B-9397-08002B2CF9AE}" pid="15" name="_2015_ms_pID_725343_00">
    <vt:lpwstr>_2015_ms_pID_725343</vt:lpwstr>
  </property>
  <property fmtid="{D5CDD505-2E9C-101B-9397-08002B2CF9AE}" pid="16" name="_2015_ms_pID_7253431">
    <vt:lpwstr>mPYD+Tuur38OknDK6tEl0tgOLSGEGm5LYNiCe5/+o+P1JpFW2VicJT
G5aZoBc4KmfSYp56kXJ3x6JLFfw8Au7sKrcJJQtM5S8enMZfu7mMkYnORNa4UcUk4pqp0s7z
CRpCXvr2uSgnVHpL4FP4tarFsXCCM9esO/jq+WxwzyKzoF/RvunIskDKomlRbZRWszV2Ryoy
5CM1YoI3uC2vcjFVJcRqO0Wbe4hQTJL170F1</vt:lpwstr>
  </property>
  <property fmtid="{D5CDD505-2E9C-101B-9397-08002B2CF9AE}" pid="17" name="_2015_ms_pID_7253431_00">
    <vt:lpwstr>_2015_ms_pID_7253431</vt:lpwstr>
  </property>
  <property fmtid="{D5CDD505-2E9C-101B-9397-08002B2CF9AE}" pid="18" name="_2015_ms_pID_7253432">
    <vt:lpwstr>pQ==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1644840141</vt:lpwstr>
  </property>
</Properties>
</file>